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3EECB"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>管道修补器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技术要求</w:t>
      </w:r>
      <w:bookmarkStart w:id="0" w:name="_Toc4037"/>
    </w:p>
    <w:p w14:paraId="42F6D72A">
      <w:pPr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  <w:lang w:val="en-US" w:eastAsia="zh-CN"/>
        </w:rPr>
        <w:t>管道修补器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符合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国家行业标准《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中华人民共和国黑色冶金行业标准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管道用球墨铸铁修补器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》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YB/T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4652-2018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标准要求；</w:t>
      </w:r>
      <w:bookmarkEnd w:id="0"/>
    </w:p>
    <w:p w14:paraId="2C2C8AD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壳体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材料为球墨铸铁，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性能要求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应符合：</w:t>
      </w:r>
    </w:p>
    <w:p w14:paraId="6B5309F1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抗拉强度≥450 Rm/MPa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断后伸长率≥10（A/%）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；</w:t>
      </w:r>
    </w:p>
    <w:p w14:paraId="647200E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硬度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范围：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160～210（HBW）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金相（球化等级）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3 级及以上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。</w:t>
      </w:r>
    </w:p>
    <w:p w14:paraId="68D85905">
      <w:pPr>
        <w:pStyle w:val="17"/>
        <w:numPr>
          <w:ilvl w:val="0"/>
          <w:numId w:val="0"/>
        </w:numPr>
        <w:tabs>
          <w:tab w:val="left" w:pos="1523"/>
        </w:tabs>
        <w:spacing w:before="0" w:after="0" w:line="360" w:lineRule="auto"/>
        <w:ind w:right="537" w:rightChars="0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橡胶密封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件材质为丁腈橡胶或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三元乙丙橡胶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具体响应采购人要求，同时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满足下表要求：</w:t>
      </w:r>
    </w:p>
    <w:tbl>
      <w:tblPr>
        <w:tblStyle w:val="13"/>
        <w:tblW w:w="820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2276"/>
        <w:gridCol w:w="2677"/>
        <w:gridCol w:w="2406"/>
      </w:tblGrid>
      <w:tr w14:paraId="515F53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44" w:type="dxa"/>
            <w:noWrap w:val="0"/>
            <w:vAlign w:val="center"/>
          </w:tcPr>
          <w:p w14:paraId="1673609D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22" w:right="112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序号</w:t>
            </w:r>
          </w:p>
        </w:tc>
        <w:tc>
          <w:tcPr>
            <w:tcW w:w="4953" w:type="dxa"/>
            <w:gridSpan w:val="2"/>
            <w:noWrap w:val="0"/>
            <w:vAlign w:val="center"/>
          </w:tcPr>
          <w:p w14:paraId="64238A07">
            <w:pPr>
              <w:pStyle w:val="18"/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4" w:leftChars="0" w:right="83" w:rightChars="0" w:hanging="14" w:hangingChars="5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项目</w:t>
            </w:r>
          </w:p>
        </w:tc>
        <w:tc>
          <w:tcPr>
            <w:tcW w:w="2406" w:type="dxa"/>
            <w:noWrap w:val="0"/>
            <w:vAlign w:val="center"/>
          </w:tcPr>
          <w:p w14:paraId="7EBABD20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right="681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要求</w:t>
            </w:r>
          </w:p>
        </w:tc>
      </w:tr>
      <w:tr w14:paraId="7690A7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  <w:jc w:val="center"/>
        </w:trPr>
        <w:tc>
          <w:tcPr>
            <w:tcW w:w="844" w:type="dxa"/>
            <w:noWrap w:val="0"/>
            <w:vAlign w:val="center"/>
          </w:tcPr>
          <w:p w14:paraId="2443A27B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1</w:t>
            </w:r>
          </w:p>
        </w:tc>
        <w:tc>
          <w:tcPr>
            <w:tcW w:w="4953" w:type="dxa"/>
            <w:gridSpan w:val="2"/>
            <w:noWrap w:val="0"/>
            <w:vAlign w:val="center"/>
          </w:tcPr>
          <w:p w14:paraId="6A489E01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硬度/IRHD</w:t>
            </w:r>
          </w:p>
        </w:tc>
        <w:tc>
          <w:tcPr>
            <w:tcW w:w="2406" w:type="dxa"/>
            <w:noWrap w:val="0"/>
            <w:vAlign w:val="center"/>
          </w:tcPr>
          <w:p w14:paraId="540E0958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right="-63" w:rightChars="0"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50～70</w:t>
            </w:r>
          </w:p>
        </w:tc>
      </w:tr>
      <w:tr w14:paraId="16A917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  <w:jc w:val="center"/>
        </w:trPr>
        <w:tc>
          <w:tcPr>
            <w:tcW w:w="844" w:type="dxa"/>
            <w:noWrap w:val="0"/>
            <w:vAlign w:val="center"/>
          </w:tcPr>
          <w:p w14:paraId="2C5AE07F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2</w:t>
            </w:r>
          </w:p>
        </w:tc>
        <w:tc>
          <w:tcPr>
            <w:tcW w:w="4953" w:type="dxa"/>
            <w:gridSpan w:val="2"/>
            <w:noWrap w:val="0"/>
            <w:vAlign w:val="center"/>
          </w:tcPr>
          <w:p w14:paraId="2F0796A8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扯断强度/MPa</w:t>
            </w:r>
          </w:p>
        </w:tc>
        <w:tc>
          <w:tcPr>
            <w:tcW w:w="2406" w:type="dxa"/>
            <w:noWrap w:val="0"/>
            <w:vAlign w:val="center"/>
          </w:tcPr>
          <w:p w14:paraId="5FDA4940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right="683"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≥9</w:t>
            </w:r>
          </w:p>
        </w:tc>
      </w:tr>
      <w:tr w14:paraId="064598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844" w:type="dxa"/>
            <w:noWrap w:val="0"/>
            <w:vAlign w:val="center"/>
          </w:tcPr>
          <w:p w14:paraId="1D3E6547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3</w:t>
            </w:r>
          </w:p>
        </w:tc>
        <w:tc>
          <w:tcPr>
            <w:tcW w:w="4953" w:type="dxa"/>
            <w:gridSpan w:val="2"/>
            <w:noWrap w:val="0"/>
            <w:vAlign w:val="center"/>
          </w:tcPr>
          <w:p w14:paraId="382C7B4A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扯断伸长率/%</w:t>
            </w:r>
          </w:p>
        </w:tc>
        <w:tc>
          <w:tcPr>
            <w:tcW w:w="2406" w:type="dxa"/>
            <w:noWrap w:val="0"/>
            <w:vAlign w:val="center"/>
          </w:tcPr>
          <w:p w14:paraId="631FD9C4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right="-63" w:rightChars="0"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≥300%</w:t>
            </w:r>
          </w:p>
        </w:tc>
      </w:tr>
      <w:tr w14:paraId="07ECE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  <w:jc w:val="center"/>
        </w:trPr>
        <w:tc>
          <w:tcPr>
            <w:tcW w:w="844" w:type="dxa"/>
            <w:noWrap w:val="0"/>
            <w:vAlign w:val="center"/>
          </w:tcPr>
          <w:p w14:paraId="4701BDC8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4</w:t>
            </w:r>
          </w:p>
        </w:tc>
        <w:tc>
          <w:tcPr>
            <w:tcW w:w="4953" w:type="dxa"/>
            <w:gridSpan w:val="2"/>
            <w:noWrap w:val="0"/>
            <w:vAlign w:val="center"/>
          </w:tcPr>
          <w:p w14:paraId="6B2DAC65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压缩永久变形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23℃，72h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）</w:t>
            </w:r>
          </w:p>
        </w:tc>
        <w:tc>
          <w:tcPr>
            <w:tcW w:w="2406" w:type="dxa"/>
            <w:noWrap w:val="0"/>
            <w:vAlign w:val="center"/>
          </w:tcPr>
          <w:p w14:paraId="37D2232E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right="683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≤12%</w:t>
            </w:r>
          </w:p>
        </w:tc>
      </w:tr>
      <w:tr w14:paraId="02C76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844" w:type="dxa"/>
            <w:noWrap w:val="0"/>
            <w:vAlign w:val="center"/>
          </w:tcPr>
          <w:p w14:paraId="1C42F321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5</w:t>
            </w:r>
          </w:p>
        </w:tc>
        <w:tc>
          <w:tcPr>
            <w:tcW w:w="2276" w:type="dxa"/>
            <w:vMerge w:val="restart"/>
            <w:noWrap w:val="0"/>
            <w:vAlign w:val="center"/>
          </w:tcPr>
          <w:p w14:paraId="79F93D06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0"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耐老化性能</w:t>
            </w:r>
          </w:p>
          <w:p w14:paraId="0694C70D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（70℃，7 d）</w:t>
            </w:r>
          </w:p>
        </w:tc>
        <w:tc>
          <w:tcPr>
            <w:tcW w:w="2677" w:type="dxa"/>
            <w:noWrap w:val="0"/>
            <w:vAlign w:val="center"/>
          </w:tcPr>
          <w:p w14:paraId="58E05723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06" w:lef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压缩永久变形</w:t>
            </w:r>
          </w:p>
        </w:tc>
        <w:tc>
          <w:tcPr>
            <w:tcW w:w="2406" w:type="dxa"/>
            <w:noWrap w:val="0"/>
            <w:vAlign w:val="center"/>
          </w:tcPr>
          <w:p w14:paraId="722DD056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right="683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≤20%</w:t>
            </w:r>
          </w:p>
        </w:tc>
      </w:tr>
      <w:tr w14:paraId="01715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844" w:type="dxa"/>
            <w:noWrap w:val="0"/>
            <w:vAlign w:val="center"/>
          </w:tcPr>
          <w:p w14:paraId="296FCD33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6</w:t>
            </w:r>
          </w:p>
        </w:tc>
        <w:tc>
          <w:tcPr>
            <w:tcW w:w="2276" w:type="dxa"/>
            <w:vMerge w:val="continue"/>
            <w:noWrap w:val="0"/>
            <w:vAlign w:val="center"/>
          </w:tcPr>
          <w:p w14:paraId="08C476CE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77" w:type="dxa"/>
            <w:noWrap w:val="0"/>
            <w:vAlign w:val="center"/>
          </w:tcPr>
          <w:p w14:paraId="1FC705AA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06" w:lef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扯断强度下降</w:t>
            </w:r>
          </w:p>
        </w:tc>
        <w:tc>
          <w:tcPr>
            <w:tcW w:w="2406" w:type="dxa"/>
            <w:noWrap w:val="0"/>
            <w:vAlign w:val="center"/>
          </w:tcPr>
          <w:p w14:paraId="773026B4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right="683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≤20%</w:t>
            </w:r>
          </w:p>
        </w:tc>
      </w:tr>
      <w:tr w14:paraId="4E1299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844" w:type="dxa"/>
            <w:noWrap w:val="0"/>
            <w:vAlign w:val="center"/>
          </w:tcPr>
          <w:p w14:paraId="0CF6DCA9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7</w:t>
            </w:r>
          </w:p>
        </w:tc>
        <w:tc>
          <w:tcPr>
            <w:tcW w:w="2276" w:type="dxa"/>
            <w:vMerge w:val="continue"/>
            <w:noWrap w:val="0"/>
            <w:vAlign w:val="center"/>
          </w:tcPr>
          <w:p w14:paraId="32F31616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77" w:type="dxa"/>
            <w:noWrap w:val="0"/>
            <w:vAlign w:val="center"/>
          </w:tcPr>
          <w:p w14:paraId="39949DB5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left="106" w:lef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扯断伸长率下降</w:t>
            </w:r>
          </w:p>
        </w:tc>
        <w:tc>
          <w:tcPr>
            <w:tcW w:w="2406" w:type="dxa"/>
            <w:noWrap w:val="0"/>
            <w:vAlign w:val="center"/>
          </w:tcPr>
          <w:p w14:paraId="520E6880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133" w:line="360" w:lineRule="auto"/>
              <w:ind w:right="683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≤30%</w:t>
            </w:r>
          </w:p>
        </w:tc>
      </w:tr>
      <w:tr w14:paraId="554C7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  <w:jc w:val="center"/>
        </w:trPr>
        <w:tc>
          <w:tcPr>
            <w:tcW w:w="844" w:type="dxa"/>
            <w:noWrap w:val="0"/>
            <w:vAlign w:val="center"/>
          </w:tcPr>
          <w:p w14:paraId="76DC9A7B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w w:val="100"/>
                <w:sz w:val="28"/>
                <w:szCs w:val="28"/>
                <w:highlight w:val="none"/>
              </w:rPr>
              <w:t>8</w:t>
            </w:r>
          </w:p>
        </w:tc>
        <w:tc>
          <w:tcPr>
            <w:tcW w:w="2276" w:type="dxa"/>
            <w:vMerge w:val="continue"/>
            <w:noWrap w:val="0"/>
            <w:vAlign w:val="center"/>
          </w:tcPr>
          <w:p w14:paraId="7A33F320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8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77" w:type="dxa"/>
            <w:noWrap w:val="0"/>
            <w:vAlign w:val="center"/>
          </w:tcPr>
          <w:p w14:paraId="584FBB9A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left="106" w:lef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硬度变化/IRHD</w:t>
            </w:r>
          </w:p>
        </w:tc>
        <w:tc>
          <w:tcPr>
            <w:tcW w:w="2406" w:type="dxa"/>
            <w:noWrap w:val="0"/>
            <w:vAlign w:val="center"/>
          </w:tcPr>
          <w:p w14:paraId="4B311F3D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60" w:lineRule="auto"/>
              <w:ind w:right="-63" w:rightChars="0"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-5～+8</w:t>
            </w:r>
          </w:p>
        </w:tc>
      </w:tr>
    </w:tbl>
    <w:p w14:paraId="45BF12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内外防腐：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产品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内外涂覆采用环氧树脂粉末静电喷涂，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产品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铸件在经过内外表面抛丸清砂后，清理掉铸件内外表面油锈、水份、等杂质，再进行环氧树脂粉末喷涂，喷涂总厚度不低于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150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微米。涂层固化后不溶解于水，不影响水质，且不因空气、温度变化而发生异状，具有良好的抗腐蚀和抗污垢性，不产生二次污染。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产品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内外涂覆材料具有国家卫生部颁发的卫生许可证，不含有任何对供水水质有害的物质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。</w:t>
      </w:r>
    </w:p>
    <w:p w14:paraId="5591CB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bookmarkStart w:id="1" w:name="_GoBack"/>
      <w:bookmarkEnd w:id="1"/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4.紧固件</w:t>
      </w:r>
    </w:p>
    <w:p w14:paraId="5F05EF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4.1紧固件材质为碳钢，螺栓性能等级应达到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GB/T 3098.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-201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0中规定的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 xml:space="preserve"> 8.8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或更高等级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强度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螺母性能等级达到GB/T 3098.2-2015 中规定的 8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或更高等级，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并进行高耐腐蚀的发黑处理。</w:t>
      </w:r>
    </w:p>
    <w:p w14:paraId="09055D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pacing w:val="-3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4.2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紧固件的尺寸和数量应满足连接强度和相应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条件下的承压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要求；</w:t>
      </w:r>
    </w:p>
    <w:p w14:paraId="7D1C5296">
      <w:pPr>
        <w:pStyle w:val="17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80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-640" w:righ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5.密封性能：在满足不低于1.6MPa的压力下进行水压试验，持压 1 min 以上，无渗漏且壳体无结构性损伤。</w:t>
      </w:r>
    </w:p>
    <w:p w14:paraId="7CDBF822">
      <w:pPr>
        <w:pStyle w:val="17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80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-640" w:righ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6.卫生要求：用于饮用水管道的修补器卫生要求应符GB/T 17219-1998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《生活饮用水输配水设备及防护材料的安全性评价标准》</w:t>
      </w: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的最新规定。</w:t>
      </w:r>
    </w:p>
    <w:p w14:paraId="2004CC32">
      <w:pPr>
        <w:pStyle w:val="17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80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-640" w:rightChars="0"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7.外观与涂层厚度：产品外观应平整光滑，无气孔、针眼、气泡 、裂纹等目视可见缺陷。涂层厚度应不小于150μm。</w:t>
      </w:r>
    </w:p>
    <w:p w14:paraId="644D857C">
      <w:pPr>
        <w:pStyle w:val="17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80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-640" w:rightChars="0" w:firstLine="560" w:firstLineChars="200"/>
        <w:jc w:val="left"/>
        <w:textAlignment w:val="auto"/>
        <w:rPr>
          <w:rFonts w:hint="default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8.标志：管道修补器上应有制造商名称或商标、规格型号的永久性标志。</w:t>
      </w:r>
    </w:p>
    <w:p w14:paraId="258B7281">
      <w:pPr>
        <w:numPr>
          <w:ilvl w:val="0"/>
          <w:numId w:val="0"/>
        </w:numPr>
        <w:ind w:firstLine="562" w:firstLineChars="200"/>
        <w:jc w:val="left"/>
        <w:rPr>
          <w:rFonts w:hint="default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3834A18"/>
    <w:rsid w:val="0386458F"/>
    <w:rsid w:val="03B90C14"/>
    <w:rsid w:val="06FF2973"/>
    <w:rsid w:val="07D15C49"/>
    <w:rsid w:val="091F5057"/>
    <w:rsid w:val="09712E6F"/>
    <w:rsid w:val="0A2E531E"/>
    <w:rsid w:val="0A5A7844"/>
    <w:rsid w:val="0B2E376B"/>
    <w:rsid w:val="0BCF6A56"/>
    <w:rsid w:val="0E17285A"/>
    <w:rsid w:val="0E581A88"/>
    <w:rsid w:val="0E9D7FD6"/>
    <w:rsid w:val="0EA661BE"/>
    <w:rsid w:val="0F4362A8"/>
    <w:rsid w:val="0F7D6815"/>
    <w:rsid w:val="10237E7A"/>
    <w:rsid w:val="103440F2"/>
    <w:rsid w:val="10543BDC"/>
    <w:rsid w:val="11BD6E7A"/>
    <w:rsid w:val="14E62317"/>
    <w:rsid w:val="1566680C"/>
    <w:rsid w:val="160B24E4"/>
    <w:rsid w:val="166E5A99"/>
    <w:rsid w:val="16F34D64"/>
    <w:rsid w:val="172029DA"/>
    <w:rsid w:val="179662E5"/>
    <w:rsid w:val="18420A61"/>
    <w:rsid w:val="18E57EEF"/>
    <w:rsid w:val="190D588E"/>
    <w:rsid w:val="1913461E"/>
    <w:rsid w:val="1921046B"/>
    <w:rsid w:val="19A34ABF"/>
    <w:rsid w:val="19E65CC5"/>
    <w:rsid w:val="1AA70F88"/>
    <w:rsid w:val="1AFD72AE"/>
    <w:rsid w:val="1B6938F9"/>
    <w:rsid w:val="1C4E5E8E"/>
    <w:rsid w:val="1FF03DF2"/>
    <w:rsid w:val="21533795"/>
    <w:rsid w:val="21EF4370"/>
    <w:rsid w:val="22193ADE"/>
    <w:rsid w:val="24AC6626"/>
    <w:rsid w:val="257C6C72"/>
    <w:rsid w:val="268964E5"/>
    <w:rsid w:val="28B96419"/>
    <w:rsid w:val="28E82542"/>
    <w:rsid w:val="292F6596"/>
    <w:rsid w:val="2A704A7F"/>
    <w:rsid w:val="2B104B75"/>
    <w:rsid w:val="2B502995"/>
    <w:rsid w:val="2BB34BC2"/>
    <w:rsid w:val="2C646630"/>
    <w:rsid w:val="2D4E2EAC"/>
    <w:rsid w:val="2E1B2C57"/>
    <w:rsid w:val="2EAC4421"/>
    <w:rsid w:val="30594C71"/>
    <w:rsid w:val="30C93DD8"/>
    <w:rsid w:val="31467772"/>
    <w:rsid w:val="31CC2391"/>
    <w:rsid w:val="327E7533"/>
    <w:rsid w:val="33056DBE"/>
    <w:rsid w:val="34D507EF"/>
    <w:rsid w:val="36336D1C"/>
    <w:rsid w:val="36367C1A"/>
    <w:rsid w:val="37006B72"/>
    <w:rsid w:val="37563F1A"/>
    <w:rsid w:val="39223962"/>
    <w:rsid w:val="39EB70F4"/>
    <w:rsid w:val="3A837631"/>
    <w:rsid w:val="3CB454A9"/>
    <w:rsid w:val="3D031ED8"/>
    <w:rsid w:val="3DCE0312"/>
    <w:rsid w:val="403C458B"/>
    <w:rsid w:val="417B7F9A"/>
    <w:rsid w:val="41E43BF6"/>
    <w:rsid w:val="42FA55DF"/>
    <w:rsid w:val="43A940AB"/>
    <w:rsid w:val="43AB6501"/>
    <w:rsid w:val="44337658"/>
    <w:rsid w:val="45321187"/>
    <w:rsid w:val="45D67254"/>
    <w:rsid w:val="46AD1297"/>
    <w:rsid w:val="46D2736E"/>
    <w:rsid w:val="47D56BD3"/>
    <w:rsid w:val="47DF5161"/>
    <w:rsid w:val="4CFD45EB"/>
    <w:rsid w:val="4D290D1B"/>
    <w:rsid w:val="4E6A5BB5"/>
    <w:rsid w:val="4EE12235"/>
    <w:rsid w:val="4FDD5690"/>
    <w:rsid w:val="51B22EEA"/>
    <w:rsid w:val="524729FC"/>
    <w:rsid w:val="52A81045"/>
    <w:rsid w:val="52EA75A5"/>
    <w:rsid w:val="53613A47"/>
    <w:rsid w:val="547755A7"/>
    <w:rsid w:val="548F395C"/>
    <w:rsid w:val="54DA51D4"/>
    <w:rsid w:val="55280380"/>
    <w:rsid w:val="55747CCB"/>
    <w:rsid w:val="56BA36E8"/>
    <w:rsid w:val="56F75AF9"/>
    <w:rsid w:val="577547EA"/>
    <w:rsid w:val="583A0947"/>
    <w:rsid w:val="58443BDE"/>
    <w:rsid w:val="5A973AB1"/>
    <w:rsid w:val="5A9F5634"/>
    <w:rsid w:val="5AC93EE4"/>
    <w:rsid w:val="5B480E4A"/>
    <w:rsid w:val="5B50795F"/>
    <w:rsid w:val="5D3D357E"/>
    <w:rsid w:val="5D58307C"/>
    <w:rsid w:val="5E5A1A4B"/>
    <w:rsid w:val="5E7470A3"/>
    <w:rsid w:val="5E9E11A1"/>
    <w:rsid w:val="5EC62D2C"/>
    <w:rsid w:val="5ED3457B"/>
    <w:rsid w:val="603C2900"/>
    <w:rsid w:val="63A42F85"/>
    <w:rsid w:val="63D61EF5"/>
    <w:rsid w:val="64177A6E"/>
    <w:rsid w:val="643B0C2A"/>
    <w:rsid w:val="654B64F1"/>
    <w:rsid w:val="657D21BD"/>
    <w:rsid w:val="658F12DB"/>
    <w:rsid w:val="67BE6BBA"/>
    <w:rsid w:val="69D47AF0"/>
    <w:rsid w:val="6B5C578A"/>
    <w:rsid w:val="6B7743BB"/>
    <w:rsid w:val="6C0B7DFB"/>
    <w:rsid w:val="6C107C42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930C07"/>
    <w:rsid w:val="72ED3F26"/>
    <w:rsid w:val="73AB07CA"/>
    <w:rsid w:val="73C86C78"/>
    <w:rsid w:val="74413DA0"/>
    <w:rsid w:val="74F97EA9"/>
    <w:rsid w:val="75C14198"/>
    <w:rsid w:val="764C46A6"/>
    <w:rsid w:val="767A486C"/>
    <w:rsid w:val="76862EDA"/>
    <w:rsid w:val="77DF48CE"/>
    <w:rsid w:val="7824723F"/>
    <w:rsid w:val="79AB0874"/>
    <w:rsid w:val="7AF35C54"/>
    <w:rsid w:val="7BA26C50"/>
    <w:rsid w:val="7D05783A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rFonts w:ascii="宋体" w:hAnsi="Courier New"/>
      <w:b/>
      <w:bCs/>
      <w:kern w:val="44"/>
      <w:sz w:val="44"/>
      <w:szCs w:val="44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5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20" w:lineRule="auto"/>
    </w:pPr>
    <w:rPr>
      <w:kern w:val="0"/>
      <w:sz w:val="24"/>
      <w:szCs w:val="24"/>
    </w:rPr>
  </w:style>
  <w:style w:type="paragraph" w:styleId="7">
    <w:name w:val="Body Text Indent"/>
    <w:basedOn w:val="1"/>
    <w:next w:val="8"/>
    <w:qFormat/>
    <w:uiPriority w:val="0"/>
    <w:pPr>
      <w:spacing w:line="440" w:lineRule="exact"/>
      <w:ind w:firstLine="630"/>
    </w:pPr>
    <w:rPr>
      <w:rFonts w:ascii="宋体"/>
      <w:sz w:val="28"/>
    </w:rPr>
  </w:style>
  <w:style w:type="paragraph" w:styleId="8">
    <w:name w:val="envelope return"/>
    <w:basedOn w:val="1"/>
    <w:qFormat/>
    <w:uiPriority w:val="0"/>
    <w:pPr>
      <w:snapToGrid w:val="0"/>
      <w:spacing w:line="360" w:lineRule="auto"/>
      <w:ind w:firstLine="200" w:firstLineChars="200"/>
    </w:pPr>
    <w:rPr>
      <w:rFonts w:ascii="Arial" w:hAnsi="Arial" w:cs="Arial"/>
      <w:sz w:val="24"/>
      <w:szCs w:val="24"/>
    </w:rPr>
  </w:style>
  <w:style w:type="paragraph" w:styleId="9">
    <w:name w:val="toc 1"/>
    <w:basedOn w:val="1"/>
    <w:next w:val="1"/>
    <w:qFormat/>
    <w:uiPriority w:val="39"/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/>
      <w:color w:val="000000"/>
      <w:kern w:val="0"/>
      <w:sz w:val="24"/>
    </w:rPr>
  </w:style>
  <w:style w:type="paragraph" w:styleId="11">
    <w:name w:val="Title"/>
    <w:basedOn w:val="1"/>
    <w:next w:val="1"/>
    <w:qFormat/>
    <w:uiPriority w:val="99"/>
    <w:pPr>
      <w:widowControl/>
      <w:tabs>
        <w:tab w:val="left" w:pos="795"/>
        <w:tab w:val="center" w:pos="4156"/>
      </w:tabs>
      <w:spacing w:before="240" w:line="312" w:lineRule="auto"/>
      <w:jc w:val="center"/>
    </w:pPr>
    <w:rPr>
      <w:rFonts w:ascii="黑体" w:hAnsi="黑体" w:eastAsia="黑体"/>
      <w:b/>
      <w:bCs/>
      <w:kern w:val="0"/>
      <w:sz w:val="28"/>
      <w:szCs w:val="32"/>
    </w:rPr>
  </w:style>
  <w:style w:type="paragraph" w:styleId="12">
    <w:name w:val="Body Text First Indent 2"/>
    <w:basedOn w:val="7"/>
    <w:next w:val="1"/>
    <w:qFormat/>
    <w:uiPriority w:val="0"/>
    <w:pPr>
      <w:widowControl w:val="0"/>
      <w:spacing w:after="120"/>
      <w:ind w:left="200" w:leftChars="200" w:firstLine="4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5">
    <w:name w:val="Default"/>
    <w:next w:val="16"/>
    <w:qFormat/>
    <w:uiPriority w:val="0"/>
    <w:pPr>
      <w:widowControl w:val="0"/>
      <w:autoSpaceDE w:val="0"/>
      <w:autoSpaceDN w:val="0"/>
      <w:adjustRightInd w:val="0"/>
    </w:pPr>
    <w:rPr>
      <w:rFonts w:ascii="楷体_GB2312" w:hAnsi="Times New Roman" w:eastAsia="楷体_GB2312" w:cs="楷体_GB2312"/>
      <w:color w:val="000000"/>
      <w:sz w:val="24"/>
      <w:szCs w:val="24"/>
      <w:lang w:val="en-US" w:eastAsia="zh-CN" w:bidi="ar-SA"/>
    </w:rPr>
  </w:style>
  <w:style w:type="paragraph" w:customStyle="1" w:styleId="16">
    <w:name w:val="大标题"/>
    <w:basedOn w:val="11"/>
    <w:next w:val="12"/>
    <w:qFormat/>
    <w:uiPriority w:val="0"/>
    <w:pPr>
      <w:adjustRightInd w:val="0"/>
      <w:spacing w:line="360" w:lineRule="auto"/>
      <w:ind w:firstLine="200" w:firstLineChars="200"/>
    </w:pPr>
    <w:rPr>
      <w:rFonts w:ascii="宋体" w:hAnsi="宋体"/>
      <w:bCs w:val="0"/>
      <w:kern w:val="0"/>
      <w:szCs w:val="20"/>
      <w:lang w:val="en-US" w:eastAsia="zh-CN"/>
    </w:rPr>
  </w:style>
  <w:style w:type="paragraph" w:styleId="17">
    <w:name w:val="List Paragraph"/>
    <w:basedOn w:val="1"/>
    <w:qFormat/>
    <w:uiPriority w:val="0"/>
    <w:pPr>
      <w:ind w:firstLine="420" w:firstLineChars="200"/>
    </w:pPr>
    <w:rPr>
      <w:szCs w:val="21"/>
    </w:rPr>
  </w:style>
  <w:style w:type="paragraph" w:customStyle="1" w:styleId="18">
    <w:name w:val="Table Paragraph"/>
    <w:basedOn w:val="1"/>
    <w:qFormat/>
    <w:uiPriority w:val="1"/>
    <w:pPr>
      <w:autoSpaceDE w:val="0"/>
      <w:autoSpaceDN w:val="0"/>
      <w:jc w:val="center"/>
    </w:pPr>
    <w:rPr>
      <w:rFonts w:ascii="宋体" w:hAnsi="宋体" w:cs="宋体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717</Words>
  <Characters>840</Characters>
  <Lines>0</Lines>
  <Paragraphs>0</Paragraphs>
  <TotalTime>142</TotalTime>
  <ScaleCrop>false</ScaleCrop>
  <LinksUpToDate>false</LinksUpToDate>
  <CharactersWithSpaces>854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2024-10-15T06:50:14Z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405EBDE550144B4D94C2E661D526DA9D</vt:lpwstr>
  </property>
</Properties>
</file>