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DE283F">
      <w:pPr>
        <w:ind w:firstLine="723" w:firstLineChars="200"/>
        <w:jc w:val="center"/>
        <w:rPr>
          <w:rFonts w:hint="eastAsia" w:ascii="仿宋" w:hAnsi="仿宋" w:eastAsia="仿宋" w:cs="仿宋"/>
          <w:b/>
          <w:bCs/>
          <w:sz w:val="36"/>
          <w:szCs w:val="36"/>
          <w:highlight w:val="none"/>
          <w:lang w:eastAsia="zh-CN"/>
        </w:rPr>
      </w:pPr>
      <w:r>
        <w:rPr>
          <w:rFonts w:hint="eastAsia" w:ascii="仿宋" w:hAnsi="仿宋" w:eastAsia="仿宋" w:cs="仿宋"/>
          <w:b/>
          <w:bCs/>
          <w:sz w:val="36"/>
          <w:szCs w:val="36"/>
          <w:highlight w:val="none"/>
          <w:lang w:val="en-US" w:eastAsia="zh-CN"/>
        </w:rPr>
        <w:t>衬塑管件</w:t>
      </w:r>
      <w:r>
        <w:rPr>
          <w:rFonts w:hint="eastAsia" w:ascii="仿宋" w:hAnsi="仿宋" w:eastAsia="仿宋" w:cs="仿宋"/>
          <w:b/>
          <w:bCs/>
          <w:sz w:val="36"/>
          <w:szCs w:val="36"/>
          <w:highlight w:val="none"/>
          <w:lang w:eastAsia="zh-CN"/>
        </w:rPr>
        <w:t>技术要求</w:t>
      </w:r>
    </w:p>
    <w:p w14:paraId="6EFBB1AF">
      <w:pPr>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eastAsia="zh-CN"/>
        </w:rPr>
        <w:t>满足CJ/T 137-2008《给水衬塑可锻铸铁管件》的标准要求。</w:t>
      </w:r>
    </w:p>
    <w:p w14:paraId="19BC04B6">
      <w:pPr>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val="en-US" w:eastAsia="zh-CN"/>
        </w:rPr>
        <w:t>本次</w:t>
      </w:r>
      <w:r>
        <w:rPr>
          <w:rFonts w:hint="eastAsia" w:ascii="仿宋" w:hAnsi="仿宋" w:eastAsia="仿宋" w:cs="仿宋"/>
          <w:sz w:val="28"/>
          <w:szCs w:val="28"/>
          <w:highlight w:val="none"/>
          <w:lang w:eastAsia="zh-CN"/>
        </w:rPr>
        <w:t>所招衬塑管件是外表面采用热镀锌，内部采用注塑成型工艺在可锻铸铁管件内衬上一个由接口芯子和衬塑层连成一体的塑料芯的管配件。</w:t>
      </w:r>
    </w:p>
    <w:p w14:paraId="294B0BC5">
      <w:pPr>
        <w:ind w:firstLine="560" w:firstLineChars="20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1.材料</w:t>
      </w:r>
    </w:p>
    <w:p w14:paraId="4F9BAAD8">
      <w:pPr>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val="en-US" w:eastAsia="zh-CN"/>
        </w:rPr>
        <w:t>1.1衬</w:t>
      </w:r>
      <w:r>
        <w:rPr>
          <w:rFonts w:hint="eastAsia" w:ascii="仿宋" w:hAnsi="仿宋" w:eastAsia="仿宋" w:cs="仿宋"/>
          <w:sz w:val="28"/>
          <w:szCs w:val="28"/>
          <w:highlight w:val="none"/>
          <w:lang w:eastAsia="zh-CN"/>
        </w:rPr>
        <w:t>塑管件内衬塑料应符合现行国家标准规定的塑料给水管原料的要求。内衬塑层材质为聚乙烯（</w:t>
      </w:r>
      <w:r>
        <w:rPr>
          <w:rFonts w:hint="eastAsia" w:ascii="仿宋" w:hAnsi="仿宋" w:eastAsia="仿宋" w:cs="仿宋"/>
          <w:b/>
          <w:bCs/>
          <w:sz w:val="28"/>
          <w:szCs w:val="28"/>
          <w:highlight w:val="none"/>
          <w:lang w:eastAsia="zh-CN"/>
        </w:rPr>
        <w:t>内衬塑聚乙烯原料必须是采购中石油或者中石化等档次产品</w:t>
      </w:r>
      <w:r>
        <w:rPr>
          <w:rFonts w:hint="eastAsia" w:ascii="仿宋" w:hAnsi="仿宋" w:eastAsia="仿宋" w:cs="仿宋"/>
          <w:sz w:val="28"/>
          <w:szCs w:val="28"/>
          <w:highlight w:val="none"/>
          <w:lang w:eastAsia="zh-CN"/>
        </w:rPr>
        <w:t>）。</w:t>
      </w:r>
    </w:p>
    <w:p w14:paraId="51FEF9F5">
      <w:pPr>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val="en-US" w:eastAsia="zh-CN"/>
        </w:rPr>
        <w:t>1.2</w:t>
      </w:r>
      <w:r>
        <w:rPr>
          <w:rFonts w:hint="eastAsia" w:ascii="仿宋" w:hAnsi="仿宋" w:eastAsia="仿宋" w:cs="仿宋"/>
          <w:sz w:val="28"/>
          <w:szCs w:val="28"/>
          <w:highlight w:val="none"/>
          <w:lang w:eastAsia="zh-CN"/>
        </w:rPr>
        <w:t>管件本体应符合GB/T 3287</w:t>
      </w:r>
      <w:r>
        <w:rPr>
          <w:rFonts w:hint="eastAsia" w:ascii="仿宋" w:hAnsi="仿宋" w:eastAsia="仿宋" w:cs="仿宋"/>
          <w:sz w:val="28"/>
          <w:szCs w:val="28"/>
          <w:highlight w:val="none"/>
          <w:lang w:val="en-US" w:eastAsia="zh-CN"/>
        </w:rPr>
        <w:t>-2011</w:t>
      </w:r>
      <w:r>
        <w:rPr>
          <w:rFonts w:hint="eastAsia" w:ascii="仿宋" w:hAnsi="仿宋" w:eastAsia="仿宋" w:cs="仿宋"/>
          <w:sz w:val="28"/>
          <w:szCs w:val="28"/>
          <w:highlight w:val="none"/>
          <w:lang w:eastAsia="zh-CN"/>
        </w:rPr>
        <w:t>《可锻铸铁管路连接件》的要求；</w:t>
      </w:r>
      <w:r>
        <w:rPr>
          <w:rFonts w:hint="eastAsia" w:ascii="仿宋" w:hAnsi="仿宋" w:eastAsia="仿宋" w:cs="仿宋"/>
          <w:sz w:val="28"/>
          <w:szCs w:val="28"/>
          <w:highlight w:val="none"/>
          <w:lang w:val="en-US" w:eastAsia="zh-CN"/>
        </w:rPr>
        <w:t>橡胶密封圈应符合HG/T 3091-2000《</w:t>
      </w:r>
      <w:r>
        <w:rPr>
          <w:rFonts w:hint="eastAsia" w:ascii="仿宋" w:hAnsi="仿宋" w:eastAsia="仿宋" w:cs="仿宋"/>
          <w:sz w:val="28"/>
          <w:szCs w:val="28"/>
          <w:highlight w:val="none"/>
          <w:lang w:eastAsia="zh-CN"/>
        </w:rPr>
        <w:t>橡胶密封件－给、排水管及污水管道用接口密封圈－材料规</w:t>
      </w:r>
      <w:r>
        <w:rPr>
          <w:rFonts w:hint="eastAsia" w:ascii="仿宋" w:hAnsi="仿宋" w:eastAsia="仿宋" w:cs="仿宋"/>
          <w:sz w:val="28"/>
          <w:szCs w:val="28"/>
          <w:highlight w:val="none"/>
          <w:lang w:val="en-US" w:eastAsia="zh-CN"/>
        </w:rPr>
        <w:t>》的要求；</w:t>
      </w:r>
      <w:r>
        <w:rPr>
          <w:rFonts w:hint="eastAsia" w:ascii="仿宋" w:hAnsi="仿宋" w:eastAsia="仿宋" w:cs="仿宋"/>
          <w:sz w:val="28"/>
          <w:szCs w:val="28"/>
          <w:highlight w:val="none"/>
          <w:lang w:eastAsia="zh-CN"/>
        </w:rPr>
        <w:t>法兰主体应符合GB/T 9124.1-2019《钢制管法兰 第1部分：PN 系列》的要求；用于输送冷水的衬塑管件内的橡胶密封圈应符合HG/T 3091《给、排水管道用密封圈橡胶材料》的要求。</w:t>
      </w:r>
    </w:p>
    <w:p w14:paraId="43CAE0CF">
      <w:pPr>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val="en-US" w:eastAsia="zh-CN"/>
        </w:rPr>
        <w:t>2.</w:t>
      </w:r>
      <w:r>
        <w:rPr>
          <w:rFonts w:hint="eastAsia" w:ascii="仿宋" w:hAnsi="仿宋" w:eastAsia="仿宋" w:cs="仿宋"/>
          <w:sz w:val="28"/>
          <w:szCs w:val="28"/>
          <w:highlight w:val="none"/>
          <w:lang w:eastAsia="zh-CN"/>
        </w:rPr>
        <w:t>外观</w:t>
      </w:r>
    </w:p>
    <w:p w14:paraId="43033737">
      <w:pPr>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eastAsia="zh-CN"/>
        </w:rPr>
        <w:t>衬塑管件本体的外表面应光滑，不得有铸造毛刺、砂眼等妨碍实用的缺陷；镀锌层应完整、无缺损；衬塑层表面应光滑平整，无明显痕纹、凹陷、色泽不均及分解变色线。</w:t>
      </w:r>
    </w:p>
    <w:p w14:paraId="5AF1A8C8">
      <w:pPr>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val="en-US" w:eastAsia="zh-CN"/>
        </w:rPr>
        <w:t>3.</w:t>
      </w:r>
      <w:r>
        <w:rPr>
          <w:rFonts w:hint="eastAsia" w:ascii="仿宋" w:hAnsi="仿宋" w:eastAsia="仿宋" w:cs="仿宋"/>
          <w:sz w:val="28"/>
          <w:szCs w:val="28"/>
          <w:highlight w:val="none"/>
          <w:lang w:eastAsia="zh-CN"/>
        </w:rPr>
        <w:t>性能：</w:t>
      </w:r>
    </w:p>
    <w:p w14:paraId="384E90B4">
      <w:pPr>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val="en-US" w:eastAsia="zh-CN"/>
        </w:rPr>
        <w:t>3.1</w:t>
      </w:r>
      <w:r>
        <w:rPr>
          <w:rFonts w:hint="eastAsia" w:ascii="仿宋" w:hAnsi="仿宋" w:eastAsia="仿宋" w:cs="仿宋"/>
          <w:sz w:val="28"/>
          <w:szCs w:val="28"/>
          <w:highlight w:val="none"/>
          <w:lang w:eastAsia="zh-CN"/>
        </w:rPr>
        <w:t>粘合强度：衬塑层与本体的铸铁面结合应牢固，撬剥无松动现象；</w:t>
      </w:r>
    </w:p>
    <w:p w14:paraId="72D62CC1">
      <w:pPr>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val="en-US" w:eastAsia="zh-CN"/>
        </w:rPr>
        <w:t>3.2</w:t>
      </w:r>
      <w:r>
        <w:rPr>
          <w:rFonts w:hint="eastAsia" w:ascii="仿宋" w:hAnsi="仿宋" w:eastAsia="仿宋" w:cs="仿宋"/>
          <w:sz w:val="28"/>
          <w:szCs w:val="28"/>
          <w:highlight w:val="none"/>
          <w:lang w:eastAsia="zh-CN"/>
        </w:rPr>
        <w:t>耐压强度：在常温条件下，经2.5MPa的水压下持续1min无渗漏现象。</w:t>
      </w:r>
    </w:p>
    <w:p w14:paraId="6FFF5136">
      <w:pPr>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val="en-US" w:eastAsia="zh-CN"/>
        </w:rPr>
        <w:t>3.3</w:t>
      </w:r>
      <w:r>
        <w:rPr>
          <w:rFonts w:hint="eastAsia" w:ascii="仿宋" w:hAnsi="仿宋" w:eastAsia="仿宋" w:cs="仿宋"/>
          <w:sz w:val="28"/>
          <w:szCs w:val="28"/>
          <w:highlight w:val="none"/>
          <w:lang w:eastAsia="zh-CN"/>
        </w:rPr>
        <w:t>粘合性能：衬塑管件与衬塑管段连接后，接口芯子不应有裂缝、变形及其他异常现象，铁质不应与水接触，密封材料挤出后不应影响管道水流通道。</w:t>
      </w:r>
    </w:p>
    <w:p w14:paraId="08943D51">
      <w:pPr>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val="en-US" w:eastAsia="zh-CN"/>
        </w:rPr>
        <w:t>3.4</w:t>
      </w:r>
      <w:r>
        <w:rPr>
          <w:rFonts w:hint="eastAsia" w:ascii="仿宋" w:hAnsi="仿宋" w:eastAsia="仿宋" w:cs="仿宋"/>
          <w:sz w:val="28"/>
          <w:szCs w:val="28"/>
          <w:highlight w:val="none"/>
          <w:lang w:eastAsia="zh-CN"/>
        </w:rPr>
        <w:t>卫生性能：衬塑层的卫生指标应符合GB/T17219</w:t>
      </w:r>
      <w:r>
        <w:rPr>
          <w:rFonts w:hint="eastAsia" w:ascii="仿宋" w:hAnsi="仿宋" w:eastAsia="仿宋" w:cs="仿宋"/>
          <w:sz w:val="28"/>
          <w:szCs w:val="28"/>
          <w:highlight w:val="none"/>
          <w:lang w:val="en-US" w:eastAsia="zh-CN"/>
        </w:rPr>
        <w:t>-1998</w:t>
      </w:r>
      <w:r>
        <w:rPr>
          <w:rFonts w:hint="eastAsia" w:ascii="仿宋" w:hAnsi="仿宋" w:eastAsia="仿宋" w:cs="仿宋"/>
          <w:sz w:val="28"/>
          <w:szCs w:val="28"/>
          <w:highlight w:val="none"/>
          <w:lang w:eastAsia="zh-CN"/>
        </w:rPr>
        <w:t>《生活饮用水输配水设备及防护材料的安全性评价标准》</w:t>
      </w:r>
      <w:r>
        <w:rPr>
          <w:rFonts w:hint="eastAsia" w:ascii="仿宋" w:hAnsi="仿宋" w:eastAsia="仿宋" w:cs="仿宋"/>
          <w:sz w:val="28"/>
          <w:szCs w:val="28"/>
          <w:highlight w:val="none"/>
          <w:lang w:eastAsia="zh-CN"/>
        </w:rPr>
        <w:t>的要求。</w:t>
      </w:r>
    </w:p>
    <w:p w14:paraId="43A5A2CC">
      <w:pPr>
        <w:numPr>
          <w:numId w:val="0"/>
        </w:numPr>
        <w:ind w:firstLine="560" w:firstLineChars="20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4.标志：</w:t>
      </w:r>
    </w:p>
    <w:p w14:paraId="53D72CE0">
      <w:pPr>
        <w:numPr>
          <w:numId w:val="0"/>
        </w:numPr>
        <w:ind w:firstLine="560" w:firstLineChars="20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衬塑管件产品的标志应正确、清晰。标志应有商标、规格，每批次货物均需附有</w:t>
      </w:r>
      <w:r>
        <w:rPr>
          <w:rFonts w:hint="eastAsia" w:ascii="仿宋" w:hAnsi="仿宋" w:eastAsia="仿宋" w:cs="仿宋"/>
          <w:b/>
          <w:bCs/>
          <w:sz w:val="28"/>
          <w:szCs w:val="28"/>
          <w:highlight w:val="none"/>
          <w:lang w:val="en-US" w:eastAsia="zh-CN"/>
        </w:rPr>
        <w:t>产品合格证</w:t>
      </w:r>
      <w:r>
        <w:rPr>
          <w:rFonts w:hint="eastAsia" w:ascii="仿宋" w:hAnsi="仿宋" w:eastAsia="仿宋" w:cs="仿宋"/>
          <w:sz w:val="28"/>
          <w:szCs w:val="28"/>
          <w:highlight w:val="none"/>
          <w:lang w:val="en-US" w:eastAsia="zh-CN"/>
        </w:rPr>
        <w:t>。</w:t>
      </w:r>
    </w:p>
    <w:p w14:paraId="26A627CB">
      <w:pPr>
        <w:pStyle w:val="2"/>
        <w:numPr>
          <w:numId w:val="0"/>
        </w:numPr>
        <w:ind w:firstLine="560" w:firstLineChars="20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5.品牌</w:t>
      </w:r>
    </w:p>
    <w:p w14:paraId="32F46FC5">
      <w:pPr>
        <w:pStyle w:val="2"/>
        <w:numPr>
          <w:numId w:val="0"/>
        </w:numPr>
        <w:ind w:firstLine="560" w:firstLineChars="200"/>
        <w:rPr>
          <w:rFonts w:hint="eastAsia" w:ascii="仿宋" w:hAnsi="仿宋" w:eastAsia="仿宋" w:cs="仿宋"/>
          <w:b/>
          <w:bCs/>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衬塑管件所选用的产品性能档次须相当于或优于以下品牌质量标准要求：</w:t>
      </w:r>
      <w:r>
        <w:rPr>
          <w:rFonts w:hint="eastAsia" w:ascii="仿宋" w:hAnsi="仿宋" w:eastAsia="仿宋" w:cs="仿宋"/>
          <w:b/>
          <w:bCs/>
          <w:color w:val="auto"/>
          <w:kern w:val="2"/>
          <w:sz w:val="28"/>
          <w:szCs w:val="28"/>
          <w:highlight w:val="none"/>
          <w:lang w:val="en-US" w:eastAsia="zh-CN" w:bidi="ar-SA"/>
        </w:rPr>
        <w:t>卡耐夫、迈克、建支</w:t>
      </w:r>
      <w:r>
        <w:rPr>
          <w:rFonts w:hint="eastAsia" w:ascii="仿宋" w:hAnsi="仿宋" w:eastAsia="仿宋" w:cs="仿宋"/>
          <w:b w:val="0"/>
          <w:bCs w:val="0"/>
          <w:color w:val="auto"/>
          <w:kern w:val="2"/>
          <w:sz w:val="28"/>
          <w:szCs w:val="28"/>
          <w:highlight w:val="none"/>
          <w:lang w:val="en-US" w:eastAsia="zh-CN" w:bidi="ar-SA"/>
        </w:rPr>
        <w:t>。</w:t>
      </w:r>
    </w:p>
    <w:p w14:paraId="0EEE1102">
      <w:pPr>
        <w:rPr>
          <w:rFonts w:hint="eastAsia" w:ascii="仿宋" w:hAnsi="仿宋" w:eastAsia="仿宋" w:cs="仿宋"/>
          <w:sz w:val="28"/>
          <w:szCs w:val="28"/>
          <w:highlight w:val="none"/>
          <w:lang w:val="en-US" w:eastAsia="zh-CN"/>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MxMzNmNmU5NjQ4MmQxNjZkYzRkNWUwOWQ2YmE3ZGYifQ=="/>
  </w:docVars>
  <w:rsids>
    <w:rsidRoot w:val="00000000"/>
    <w:rsid w:val="03834A18"/>
    <w:rsid w:val="0386458F"/>
    <w:rsid w:val="03B90C14"/>
    <w:rsid w:val="06FF2973"/>
    <w:rsid w:val="07D15C49"/>
    <w:rsid w:val="091F5057"/>
    <w:rsid w:val="09712E6F"/>
    <w:rsid w:val="0A2E531E"/>
    <w:rsid w:val="0A5A7844"/>
    <w:rsid w:val="0B2E376B"/>
    <w:rsid w:val="0BCF6A56"/>
    <w:rsid w:val="0E17285A"/>
    <w:rsid w:val="0E581A88"/>
    <w:rsid w:val="0E9D7FD6"/>
    <w:rsid w:val="0EA661BE"/>
    <w:rsid w:val="0F4362A8"/>
    <w:rsid w:val="0F7D6815"/>
    <w:rsid w:val="10237E7A"/>
    <w:rsid w:val="10543BDC"/>
    <w:rsid w:val="11BD6E7A"/>
    <w:rsid w:val="14E62317"/>
    <w:rsid w:val="1566680C"/>
    <w:rsid w:val="160B24E4"/>
    <w:rsid w:val="166E5A99"/>
    <w:rsid w:val="16F34D64"/>
    <w:rsid w:val="172029DA"/>
    <w:rsid w:val="179662E5"/>
    <w:rsid w:val="18420A61"/>
    <w:rsid w:val="18E57EEF"/>
    <w:rsid w:val="190D588E"/>
    <w:rsid w:val="1913461E"/>
    <w:rsid w:val="1921046B"/>
    <w:rsid w:val="19A34ABF"/>
    <w:rsid w:val="19E65CC5"/>
    <w:rsid w:val="1AA70F88"/>
    <w:rsid w:val="1AFD72AE"/>
    <w:rsid w:val="1B6938F9"/>
    <w:rsid w:val="1C4E5E8E"/>
    <w:rsid w:val="21533795"/>
    <w:rsid w:val="21EF4370"/>
    <w:rsid w:val="22193ADE"/>
    <w:rsid w:val="24AC6626"/>
    <w:rsid w:val="257C6C72"/>
    <w:rsid w:val="268964E5"/>
    <w:rsid w:val="28B96419"/>
    <w:rsid w:val="28E82542"/>
    <w:rsid w:val="292F6596"/>
    <w:rsid w:val="2A704A7F"/>
    <w:rsid w:val="2B104B75"/>
    <w:rsid w:val="2B502995"/>
    <w:rsid w:val="2BB34BC2"/>
    <w:rsid w:val="2C646630"/>
    <w:rsid w:val="2D4E2EAC"/>
    <w:rsid w:val="2E1B2C57"/>
    <w:rsid w:val="2EAC4421"/>
    <w:rsid w:val="30594C71"/>
    <w:rsid w:val="30C93DD8"/>
    <w:rsid w:val="31467772"/>
    <w:rsid w:val="31CC2391"/>
    <w:rsid w:val="327E7533"/>
    <w:rsid w:val="33056DBE"/>
    <w:rsid w:val="34D507EF"/>
    <w:rsid w:val="36336D1C"/>
    <w:rsid w:val="36367C1A"/>
    <w:rsid w:val="37006B72"/>
    <w:rsid w:val="37563F1A"/>
    <w:rsid w:val="39223962"/>
    <w:rsid w:val="39EB70F4"/>
    <w:rsid w:val="3A837631"/>
    <w:rsid w:val="3CB454A9"/>
    <w:rsid w:val="3D031ED8"/>
    <w:rsid w:val="3DCE0312"/>
    <w:rsid w:val="403C458B"/>
    <w:rsid w:val="417B7F9A"/>
    <w:rsid w:val="41E43BF6"/>
    <w:rsid w:val="42FA55DF"/>
    <w:rsid w:val="43A940AB"/>
    <w:rsid w:val="43AB6501"/>
    <w:rsid w:val="44337658"/>
    <w:rsid w:val="45D67254"/>
    <w:rsid w:val="46AD1297"/>
    <w:rsid w:val="46D2736E"/>
    <w:rsid w:val="47D56BD3"/>
    <w:rsid w:val="47DF5161"/>
    <w:rsid w:val="4CFD45EB"/>
    <w:rsid w:val="4D290D1B"/>
    <w:rsid w:val="4E6A5BB5"/>
    <w:rsid w:val="4EE12235"/>
    <w:rsid w:val="4EE8210B"/>
    <w:rsid w:val="4FDD5690"/>
    <w:rsid w:val="51B22EEA"/>
    <w:rsid w:val="524729FC"/>
    <w:rsid w:val="52A81045"/>
    <w:rsid w:val="52EA75A5"/>
    <w:rsid w:val="53613A47"/>
    <w:rsid w:val="547755A7"/>
    <w:rsid w:val="548F395C"/>
    <w:rsid w:val="54DA51D4"/>
    <w:rsid w:val="55280380"/>
    <w:rsid w:val="55747CCB"/>
    <w:rsid w:val="56BA36E8"/>
    <w:rsid w:val="56F75AF9"/>
    <w:rsid w:val="577547EA"/>
    <w:rsid w:val="57F205D3"/>
    <w:rsid w:val="583A0947"/>
    <w:rsid w:val="58443BDE"/>
    <w:rsid w:val="5A973AB1"/>
    <w:rsid w:val="5AC93EE4"/>
    <w:rsid w:val="5B50795F"/>
    <w:rsid w:val="5D3D357E"/>
    <w:rsid w:val="5D58307C"/>
    <w:rsid w:val="5E5A1A4B"/>
    <w:rsid w:val="5E7470A3"/>
    <w:rsid w:val="5E9E11A1"/>
    <w:rsid w:val="5EC62D2C"/>
    <w:rsid w:val="5ED3457B"/>
    <w:rsid w:val="603C2900"/>
    <w:rsid w:val="63A42F85"/>
    <w:rsid w:val="63D61EF5"/>
    <w:rsid w:val="64177A6E"/>
    <w:rsid w:val="643B0C2A"/>
    <w:rsid w:val="654B64F1"/>
    <w:rsid w:val="657D21BD"/>
    <w:rsid w:val="658F12DB"/>
    <w:rsid w:val="69D47AF0"/>
    <w:rsid w:val="6B5C578A"/>
    <w:rsid w:val="6B7743BB"/>
    <w:rsid w:val="6C0B7DFB"/>
    <w:rsid w:val="6C107C42"/>
    <w:rsid w:val="6C533F9F"/>
    <w:rsid w:val="6D6A35FD"/>
    <w:rsid w:val="6E3B4B9F"/>
    <w:rsid w:val="6FDD10DC"/>
    <w:rsid w:val="700B22DB"/>
    <w:rsid w:val="702901DE"/>
    <w:rsid w:val="70ED3A8D"/>
    <w:rsid w:val="711D123F"/>
    <w:rsid w:val="71F06378"/>
    <w:rsid w:val="72930C07"/>
    <w:rsid w:val="72ED3F26"/>
    <w:rsid w:val="73AB07CA"/>
    <w:rsid w:val="73C86C78"/>
    <w:rsid w:val="74413DA0"/>
    <w:rsid w:val="74F97EA9"/>
    <w:rsid w:val="75C14198"/>
    <w:rsid w:val="764C46A6"/>
    <w:rsid w:val="767A486C"/>
    <w:rsid w:val="76862EDA"/>
    <w:rsid w:val="77DF48CE"/>
    <w:rsid w:val="7824723F"/>
    <w:rsid w:val="79AB0874"/>
    <w:rsid w:val="7AD26961"/>
    <w:rsid w:val="7AF35C54"/>
    <w:rsid w:val="7BA26C50"/>
    <w:rsid w:val="7D05783A"/>
    <w:rsid w:val="7D417142"/>
    <w:rsid w:val="7DB843A4"/>
    <w:rsid w:val="7DC64795"/>
    <w:rsid w:val="7E6B19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qFormat="1" w:unhideWhenUsed="0" w:uiPriority="39"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customStyle="1" w:styleId="2">
    <w:name w:val="Default"/>
    <w:next w:val="3"/>
    <w:qFormat/>
    <w:uiPriority w:val="0"/>
    <w:pPr>
      <w:widowControl w:val="0"/>
      <w:autoSpaceDE w:val="0"/>
      <w:autoSpaceDN w:val="0"/>
      <w:adjustRightInd w:val="0"/>
    </w:pPr>
    <w:rPr>
      <w:rFonts w:ascii="楷体_GB2312" w:hAnsi="Times New Roman" w:eastAsia="楷体_GB2312" w:cs="楷体_GB2312"/>
      <w:color w:val="000000"/>
      <w:sz w:val="24"/>
      <w:szCs w:val="24"/>
      <w:lang w:val="en-US" w:eastAsia="zh-CN" w:bidi="ar-SA"/>
    </w:rPr>
  </w:style>
  <w:style w:type="paragraph" w:styleId="3">
    <w:name w:val="toc 9"/>
    <w:basedOn w:val="1"/>
    <w:next w:val="1"/>
    <w:qFormat/>
    <w:uiPriority w:val="39"/>
    <w:pPr>
      <w:ind w:left="1680"/>
      <w:jc w:val="left"/>
    </w:pPr>
    <w:rPr>
      <w:rFonts w:ascii="Calibri" w:hAnsi="Calibri"/>
      <w:sz w:val="18"/>
      <w:szCs w:val="18"/>
    </w:rPr>
  </w:style>
  <w:style w:type="paragraph" w:styleId="5">
    <w:name w:val="Body Text Indent"/>
    <w:basedOn w:val="1"/>
    <w:next w:val="6"/>
    <w:qFormat/>
    <w:uiPriority w:val="0"/>
    <w:pPr>
      <w:spacing w:line="440" w:lineRule="exact"/>
      <w:ind w:firstLine="630"/>
    </w:pPr>
    <w:rPr>
      <w:rFonts w:ascii="宋体"/>
      <w:sz w:val="28"/>
    </w:rPr>
  </w:style>
  <w:style w:type="paragraph" w:styleId="6">
    <w:name w:val="envelope return"/>
    <w:basedOn w:val="1"/>
    <w:qFormat/>
    <w:uiPriority w:val="0"/>
    <w:pPr>
      <w:snapToGrid w:val="0"/>
      <w:spacing w:line="360" w:lineRule="auto"/>
      <w:ind w:firstLine="200" w:firstLineChars="200"/>
    </w:pPr>
    <w:rPr>
      <w:rFonts w:ascii="Arial" w:hAnsi="Arial" w:cs="Arial"/>
      <w:sz w:val="24"/>
      <w:szCs w:val="24"/>
    </w:rPr>
  </w:style>
  <w:style w:type="paragraph" w:styleId="7">
    <w:name w:val="toc 1"/>
    <w:basedOn w:val="1"/>
    <w:next w:val="1"/>
    <w:qFormat/>
    <w:uiPriority w:val="39"/>
  </w:style>
  <w:style w:type="paragraph" w:styleId="8">
    <w:name w:val="Normal (Web)"/>
    <w:basedOn w:val="1"/>
    <w:qFormat/>
    <w:uiPriority w:val="99"/>
    <w:pPr>
      <w:widowControl/>
      <w:spacing w:before="100" w:beforeAutospacing="1" w:after="100" w:afterAutospacing="1"/>
      <w:jc w:val="left"/>
    </w:pPr>
    <w:rPr>
      <w:rFonts w:ascii="宋体"/>
      <w:color w:val="000000"/>
      <w:kern w:val="0"/>
      <w:sz w:val="24"/>
    </w:rPr>
  </w:style>
  <w:style w:type="paragraph" w:styleId="9">
    <w:name w:val="Title"/>
    <w:basedOn w:val="1"/>
    <w:next w:val="1"/>
    <w:qFormat/>
    <w:uiPriority w:val="99"/>
    <w:pPr>
      <w:widowControl/>
      <w:tabs>
        <w:tab w:val="left" w:pos="795"/>
        <w:tab w:val="center" w:pos="4156"/>
      </w:tabs>
      <w:spacing w:before="240" w:line="312" w:lineRule="auto"/>
      <w:jc w:val="center"/>
    </w:pPr>
    <w:rPr>
      <w:rFonts w:ascii="黑体" w:hAnsi="黑体" w:eastAsia="黑体"/>
      <w:b/>
      <w:bCs/>
      <w:kern w:val="0"/>
      <w:sz w:val="28"/>
      <w:szCs w:val="32"/>
    </w:rPr>
  </w:style>
  <w:style w:type="paragraph" w:styleId="10">
    <w:name w:val="Body Text First Indent 2"/>
    <w:basedOn w:val="5"/>
    <w:next w:val="1"/>
    <w:qFormat/>
    <w:uiPriority w:val="0"/>
    <w:pPr>
      <w:widowControl w:val="0"/>
      <w:spacing w:after="120"/>
      <w:ind w:left="200" w:leftChars="200" w:firstLine="420"/>
      <w:jc w:val="both"/>
    </w:pPr>
    <w:rPr>
      <w:rFonts w:ascii="Calibri" w:hAnsi="Calibri" w:eastAsia="宋体" w:cs="Times New Roman"/>
      <w:kern w:val="2"/>
      <w:sz w:val="21"/>
      <w:szCs w:val="24"/>
      <w:lang w:val="en-US" w:eastAsia="zh-CN" w:bidi="ar-SA"/>
    </w:rPr>
  </w:style>
  <w:style w:type="paragraph" w:customStyle="1" w:styleId="13">
    <w:name w:val="大标题"/>
    <w:basedOn w:val="9"/>
    <w:next w:val="10"/>
    <w:qFormat/>
    <w:uiPriority w:val="0"/>
    <w:pPr>
      <w:adjustRightInd w:val="0"/>
      <w:spacing w:line="360" w:lineRule="auto"/>
      <w:ind w:firstLine="200" w:firstLineChars="200"/>
    </w:pPr>
    <w:rPr>
      <w:rFonts w:ascii="宋体" w:hAnsi="宋体"/>
      <w:bCs w:val="0"/>
      <w:kern w:val="0"/>
      <w:szCs w:val="20"/>
      <w:lang w:val="en-US" w:eastAsia="zh-C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1068</Words>
  <Characters>1300</Characters>
  <Lines>0</Lines>
  <Paragraphs>0</Paragraphs>
  <TotalTime>0</TotalTime>
  <ScaleCrop>false</ScaleCrop>
  <LinksUpToDate>false</LinksUpToDate>
  <CharactersWithSpaces>1323</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2022-02-28T08:19:00Z</dcterms:created>
  <dc:creator>lenovo</dc:creator>
  <cp:lastModifiedBy>一一</cp:lastModifiedBy>
  <dcterms:modified xsi:type="dcterms:W3CDTF">2024-10-10T03:01:06Z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405EBDE550144B4D94C2E661D526DA9D</vt:lpwstr>
  </property>
</Properties>
</file>