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7"/>
        <w:tblW w:w="10120" w:type="dxa"/>
        <w:tblInd w:w="-7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20"/>
      </w:tblGrid>
      <w:tr w14:paraId="0B1F73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65" w:hRule="atLeast"/>
        </w:trPr>
        <w:tc>
          <w:tcPr>
            <w:tcW w:w="10120" w:type="dxa"/>
            <w:shd w:val="clear" w:color="auto" w:fill="FFFFFF" w:themeFill="background1"/>
            <w:vAlign w:val="top"/>
          </w:tcPr>
          <w:p w14:paraId="3AEE0F13">
            <w:pPr>
              <w:keepNext w:val="0"/>
              <w:keepLines w:val="0"/>
              <w:pageBreakBefore w:val="0"/>
              <w:widowControl w:val="0"/>
              <w:kinsoku/>
              <w:wordWrap/>
              <w:overflowPunct/>
              <w:topLinePunct w:val="0"/>
              <w:autoSpaceDE/>
              <w:autoSpaceDN/>
              <w:bidi w:val="0"/>
              <w:spacing w:line="460" w:lineRule="exact"/>
              <w:ind w:firstLine="494" w:firstLineChars="206"/>
              <w:textAlignment w:val="auto"/>
              <w:rPr>
                <w:rFonts w:ascii="宋体" w:hAnsi="宋体" w:cs="宋体"/>
                <w:sz w:val="24"/>
              </w:rPr>
            </w:pPr>
            <w:r>
              <w:rPr>
                <w:rFonts w:hint="eastAsia" w:ascii="宋体" w:hAnsi="宋体" w:cs="宋体"/>
                <w:sz w:val="24"/>
              </w:rPr>
              <w:t>一、报价人须知</w:t>
            </w:r>
          </w:p>
          <w:p w14:paraId="5312CD54">
            <w:pPr>
              <w:keepNext w:val="0"/>
              <w:keepLines w:val="0"/>
              <w:pageBreakBefore w:val="0"/>
              <w:widowControl w:val="0"/>
              <w:kinsoku/>
              <w:wordWrap/>
              <w:overflowPunct/>
              <w:topLinePunct w:val="0"/>
              <w:autoSpaceDE/>
              <w:autoSpaceDN/>
              <w:bidi w:val="0"/>
              <w:spacing w:line="460" w:lineRule="exact"/>
              <w:ind w:firstLine="480" w:firstLineChars="200"/>
              <w:textAlignment w:val="auto"/>
              <w:rPr>
                <w:rFonts w:ascii="宋体" w:hAnsi="宋体" w:cs="宋体"/>
                <w:sz w:val="24"/>
              </w:rPr>
            </w:pPr>
            <w:r>
              <w:rPr>
                <w:rFonts w:hint="eastAsia" w:ascii="宋体" w:hAnsi="宋体" w:cs="宋体"/>
                <w:sz w:val="24"/>
                <w:lang w:val="en-US" w:eastAsia="zh-CN"/>
              </w:rPr>
              <w:t>1.</w:t>
            </w:r>
            <w:r>
              <w:rPr>
                <w:rFonts w:hint="eastAsia" w:ascii="宋体" w:hAnsi="宋体" w:cs="宋体"/>
                <w:sz w:val="24"/>
              </w:rPr>
              <w:t>应按工程量清单及其计价格式规定的内容进行编制、填写、签字、盖章。</w:t>
            </w:r>
          </w:p>
          <w:p w14:paraId="0EE23EFE">
            <w:pPr>
              <w:keepNext w:val="0"/>
              <w:keepLines w:val="0"/>
              <w:pageBreakBefore w:val="0"/>
              <w:widowControl w:val="0"/>
              <w:kinsoku/>
              <w:wordWrap/>
              <w:overflowPunct/>
              <w:topLinePunct w:val="0"/>
              <w:autoSpaceDE/>
              <w:autoSpaceDN/>
              <w:bidi w:val="0"/>
              <w:spacing w:line="460" w:lineRule="exact"/>
              <w:ind w:firstLine="480" w:firstLineChars="200"/>
              <w:textAlignment w:val="auto"/>
              <w:rPr>
                <w:rFonts w:ascii="宋体" w:hAnsi="宋体" w:cs="宋体"/>
                <w:sz w:val="24"/>
              </w:rPr>
            </w:pPr>
            <w:r>
              <w:rPr>
                <w:rFonts w:hint="eastAsia" w:ascii="宋体" w:hAnsi="宋体" w:cs="宋体"/>
                <w:sz w:val="24"/>
                <w:lang w:val="en-US" w:eastAsia="zh-CN"/>
              </w:rPr>
              <w:t>2.</w:t>
            </w:r>
            <w:r>
              <w:rPr>
                <w:rFonts w:hint="eastAsia" w:ascii="宋体" w:hAnsi="宋体" w:cs="宋体"/>
                <w:sz w:val="24"/>
              </w:rPr>
              <w:t>工程量清单及其计价格式中的任何内容不得随意删除或涂改。</w:t>
            </w:r>
          </w:p>
          <w:p w14:paraId="12E1F8A6">
            <w:pPr>
              <w:keepNext w:val="0"/>
              <w:keepLines w:val="0"/>
              <w:pageBreakBefore w:val="0"/>
              <w:widowControl w:val="0"/>
              <w:kinsoku/>
              <w:wordWrap/>
              <w:overflowPunct/>
              <w:topLinePunct w:val="0"/>
              <w:autoSpaceDE/>
              <w:autoSpaceDN/>
              <w:bidi w:val="0"/>
              <w:spacing w:line="460" w:lineRule="exact"/>
              <w:ind w:firstLine="480" w:firstLineChars="200"/>
              <w:textAlignment w:val="auto"/>
              <w:rPr>
                <w:rFonts w:ascii="宋体" w:hAnsi="宋体" w:cs="宋体"/>
                <w:sz w:val="24"/>
              </w:rPr>
            </w:pPr>
            <w:r>
              <w:rPr>
                <w:rFonts w:hint="eastAsia" w:ascii="宋体" w:hAnsi="宋体" w:cs="宋体"/>
                <w:sz w:val="24"/>
                <w:lang w:val="en-US" w:eastAsia="zh-CN"/>
              </w:rPr>
              <w:t>3.</w:t>
            </w:r>
            <w:r>
              <w:rPr>
                <w:rFonts w:hint="eastAsia" w:ascii="宋体" w:hAnsi="宋体" w:cs="宋体"/>
                <w:sz w:val="24"/>
              </w:rPr>
              <w:t>工程量清单计价格式中列明的所有需要填报的单价和合价，投标单位均应填报，未填报的单价和合价，视为此项费用已包含在工程量清单的其他单价和合价内。</w:t>
            </w:r>
          </w:p>
          <w:p w14:paraId="51E51BF3">
            <w:pPr>
              <w:keepNext w:val="0"/>
              <w:keepLines w:val="0"/>
              <w:pageBreakBefore w:val="0"/>
              <w:widowControl w:val="0"/>
              <w:kinsoku/>
              <w:wordWrap/>
              <w:overflowPunct/>
              <w:topLinePunct w:val="0"/>
              <w:autoSpaceDE/>
              <w:autoSpaceDN/>
              <w:bidi w:val="0"/>
              <w:spacing w:line="460" w:lineRule="exact"/>
              <w:ind w:firstLine="480" w:firstLineChars="200"/>
              <w:textAlignment w:val="auto"/>
              <w:rPr>
                <w:rFonts w:ascii="宋体" w:hAnsi="宋体" w:cs="宋体"/>
                <w:sz w:val="24"/>
              </w:rPr>
            </w:pPr>
            <w:r>
              <w:rPr>
                <w:rFonts w:hint="eastAsia" w:ascii="宋体" w:hAnsi="宋体" w:cs="宋体"/>
                <w:sz w:val="24"/>
                <w:lang w:val="en-US" w:eastAsia="zh-CN"/>
              </w:rPr>
              <w:t>4.</w:t>
            </w:r>
            <w:r>
              <w:rPr>
                <w:rFonts w:hint="eastAsia" w:ascii="宋体" w:hAnsi="宋体" w:cs="宋体"/>
                <w:sz w:val="24"/>
              </w:rPr>
              <w:t>金额（价格）均以人民币表示。</w:t>
            </w:r>
          </w:p>
          <w:p w14:paraId="782F028D">
            <w:pPr>
              <w:keepNext w:val="0"/>
              <w:keepLines w:val="0"/>
              <w:pageBreakBefore w:val="0"/>
              <w:widowControl w:val="0"/>
              <w:kinsoku/>
              <w:wordWrap/>
              <w:overflowPunct/>
              <w:topLinePunct w:val="0"/>
              <w:autoSpaceDE/>
              <w:autoSpaceDN/>
              <w:bidi w:val="0"/>
              <w:spacing w:line="460" w:lineRule="exact"/>
              <w:ind w:firstLine="480" w:firstLineChars="200"/>
              <w:textAlignment w:val="auto"/>
              <w:rPr>
                <w:rFonts w:ascii="宋体" w:hAnsi="宋体" w:cs="宋体"/>
                <w:sz w:val="24"/>
              </w:rPr>
            </w:pPr>
            <w:r>
              <w:rPr>
                <w:rFonts w:hint="eastAsia" w:ascii="宋体" w:hAnsi="宋体" w:cs="宋体"/>
                <w:sz w:val="24"/>
              </w:rPr>
              <w:t>二、工程名称：</w:t>
            </w:r>
            <w:r>
              <w:rPr>
                <w:rFonts w:hint="eastAsia" w:ascii="宋体" w:hAnsi="宋体"/>
                <w:sz w:val="24"/>
              </w:rPr>
              <w:t>水务集团配电室改造</w:t>
            </w:r>
          </w:p>
          <w:p w14:paraId="141E47F7">
            <w:pPr>
              <w:keepNext w:val="0"/>
              <w:keepLines w:val="0"/>
              <w:pageBreakBefore w:val="0"/>
              <w:widowControl w:val="0"/>
              <w:kinsoku/>
              <w:wordWrap/>
              <w:overflowPunct/>
              <w:topLinePunct w:val="0"/>
              <w:autoSpaceDE/>
              <w:autoSpaceDN/>
              <w:bidi w:val="0"/>
              <w:adjustRightInd w:val="0"/>
              <w:spacing w:line="360" w:lineRule="auto"/>
              <w:ind w:firstLine="480" w:firstLineChars="200"/>
              <w:jc w:val="left"/>
              <w:textAlignment w:val="auto"/>
              <w:outlineLvl w:val="9"/>
              <w:rPr>
                <w:rFonts w:hint="eastAsia" w:ascii="宋体" w:hAnsi="宋体" w:cs="宋体"/>
                <w:sz w:val="24"/>
              </w:rPr>
            </w:pPr>
            <w:r>
              <w:rPr>
                <w:rFonts w:hint="eastAsia" w:ascii="宋体" w:hAnsi="宋体" w:cs="宋体"/>
                <w:sz w:val="24"/>
              </w:rPr>
              <w:t>三、工程概况：</w:t>
            </w:r>
            <w:r>
              <w:rPr>
                <w:rFonts w:hint="eastAsia" w:ascii="宋体" w:hAnsi="宋体"/>
                <w:sz w:val="24"/>
              </w:rPr>
              <w:t>水务集团配电室改造工程位于</w:t>
            </w:r>
            <w:r>
              <w:rPr>
                <w:rFonts w:hint="eastAsia" w:ascii="宋体" w:hAnsi="宋体"/>
                <w:sz w:val="24"/>
                <w:lang w:val="en-US" w:eastAsia="zh-CN"/>
              </w:rPr>
              <w:t>水务集团大厦内</w:t>
            </w:r>
            <w:r>
              <w:rPr>
                <w:rFonts w:hint="eastAsia" w:ascii="宋体" w:hAnsi="宋体"/>
                <w:sz w:val="24"/>
                <w:lang w:eastAsia="zh-CN"/>
              </w:rPr>
              <w:t>。</w:t>
            </w:r>
            <w:r>
              <w:rPr>
                <w:rFonts w:hint="eastAsia" w:ascii="宋体" w:hAnsi="宋体"/>
                <w:sz w:val="24"/>
                <w:lang w:val="en-US" w:eastAsia="zh-CN"/>
              </w:rPr>
              <w:t>主要包括10KV高压进线柜、10KV变压器柜改造，高低压桥架安装及高低压电缆的拆除安装等</w:t>
            </w:r>
            <w:r>
              <w:rPr>
                <w:rFonts w:hint="eastAsia" w:ascii="宋体" w:hAnsi="宋体"/>
                <w:sz w:val="24"/>
              </w:rPr>
              <w:t>。</w:t>
            </w:r>
          </w:p>
          <w:p w14:paraId="662F6510">
            <w:pPr>
              <w:keepNext w:val="0"/>
              <w:keepLines w:val="0"/>
              <w:pageBreakBefore w:val="0"/>
              <w:widowControl w:val="0"/>
              <w:kinsoku/>
              <w:wordWrap/>
              <w:overflowPunct/>
              <w:topLinePunct w:val="0"/>
              <w:autoSpaceDE/>
              <w:autoSpaceDN/>
              <w:bidi w:val="0"/>
              <w:spacing w:line="460" w:lineRule="exact"/>
              <w:ind w:firstLine="494" w:firstLineChars="206"/>
              <w:textAlignment w:val="auto"/>
              <w:rPr>
                <w:rFonts w:ascii="宋体" w:hAnsi="宋体" w:cs="宋体"/>
                <w:sz w:val="24"/>
              </w:rPr>
            </w:pPr>
            <w:r>
              <w:rPr>
                <w:rFonts w:hint="eastAsia" w:ascii="宋体" w:hAnsi="宋体" w:cs="宋体"/>
                <w:sz w:val="24"/>
              </w:rPr>
              <w:t>四、工程招标范围</w:t>
            </w:r>
          </w:p>
          <w:p w14:paraId="4A56B918">
            <w:pPr>
              <w:keepNext w:val="0"/>
              <w:keepLines w:val="0"/>
              <w:pageBreakBefore w:val="0"/>
              <w:widowControl w:val="0"/>
              <w:kinsoku/>
              <w:wordWrap/>
              <w:overflowPunct/>
              <w:topLinePunct w:val="0"/>
              <w:autoSpaceDE/>
              <w:autoSpaceDN/>
              <w:bidi w:val="0"/>
              <w:spacing w:line="460" w:lineRule="exact"/>
              <w:ind w:firstLine="480" w:firstLineChars="200"/>
              <w:textAlignment w:val="auto"/>
              <w:rPr>
                <w:rFonts w:hint="eastAsia" w:ascii="宋体" w:hAnsi="宋体" w:cs="宋体"/>
                <w:sz w:val="24"/>
              </w:rPr>
            </w:pPr>
            <w:r>
              <w:rPr>
                <w:rFonts w:hint="eastAsia" w:ascii="宋体" w:hAnsi="宋体"/>
                <w:sz w:val="24"/>
              </w:rPr>
              <w:t>本次招标范围包含施工图设计</w:t>
            </w:r>
            <w:r>
              <w:rPr>
                <w:rFonts w:hint="eastAsia" w:ascii="宋体" w:hAnsi="宋体"/>
                <w:sz w:val="24"/>
                <w:lang w:val="en-US" w:eastAsia="zh-CN"/>
              </w:rPr>
              <w:t>的10KV高压进线柜、10KV变压器柜改造、变压器的温控器更换、高低压桥架安装及高低压电缆的拆除、安装</w:t>
            </w:r>
            <w:r>
              <w:rPr>
                <w:rFonts w:hint="eastAsia" w:ascii="宋体" w:hAnsi="宋体"/>
                <w:sz w:val="24"/>
              </w:rPr>
              <w:t>等内容。包括但不限于</w:t>
            </w:r>
            <w:r>
              <w:rPr>
                <w:rFonts w:hint="eastAsia" w:ascii="宋体" w:hAnsi="宋体" w:cs="宋体"/>
                <w:sz w:val="24"/>
              </w:rPr>
              <w:t>工程施工、验收、保修及相关服务。具体以工程量清单为准。</w:t>
            </w:r>
          </w:p>
          <w:p w14:paraId="6C1A7E25">
            <w:pPr>
              <w:keepNext w:val="0"/>
              <w:keepLines w:val="0"/>
              <w:pageBreakBefore w:val="0"/>
              <w:widowControl w:val="0"/>
              <w:kinsoku/>
              <w:wordWrap/>
              <w:overflowPunct/>
              <w:topLinePunct w:val="0"/>
              <w:autoSpaceDE/>
              <w:autoSpaceDN/>
              <w:bidi w:val="0"/>
              <w:spacing w:line="460" w:lineRule="exact"/>
              <w:ind w:firstLine="480" w:firstLineChars="200"/>
              <w:textAlignment w:val="auto"/>
              <w:rPr>
                <w:rFonts w:ascii="宋体" w:hAnsi="宋体" w:cs="宋体"/>
                <w:sz w:val="24"/>
              </w:rPr>
            </w:pPr>
            <w:r>
              <w:rPr>
                <w:rFonts w:hint="eastAsia" w:ascii="宋体" w:hAnsi="宋体" w:cs="宋体"/>
                <w:sz w:val="24"/>
              </w:rPr>
              <w:t>五、工程质量：达到国家验收规范合格标准。</w:t>
            </w:r>
          </w:p>
          <w:p w14:paraId="3715F543">
            <w:pPr>
              <w:keepNext w:val="0"/>
              <w:keepLines w:val="0"/>
              <w:pageBreakBefore w:val="0"/>
              <w:widowControl w:val="0"/>
              <w:kinsoku/>
              <w:wordWrap/>
              <w:overflowPunct/>
              <w:topLinePunct w:val="0"/>
              <w:autoSpaceDE/>
              <w:autoSpaceDN/>
              <w:bidi w:val="0"/>
              <w:spacing w:line="460" w:lineRule="exact"/>
              <w:ind w:firstLine="480" w:firstLineChars="200"/>
              <w:textAlignment w:val="auto"/>
              <w:rPr>
                <w:rFonts w:ascii="宋体" w:hAnsi="宋体" w:cs="宋体"/>
                <w:sz w:val="24"/>
              </w:rPr>
            </w:pPr>
            <w:r>
              <w:rPr>
                <w:rFonts w:hint="eastAsia" w:ascii="宋体" w:hAnsi="宋体" w:cs="宋体"/>
                <w:sz w:val="24"/>
              </w:rPr>
              <w:t>六、编制依据</w:t>
            </w:r>
          </w:p>
          <w:p w14:paraId="56EC07EA">
            <w:pPr>
              <w:keepNext w:val="0"/>
              <w:keepLines w:val="0"/>
              <w:pageBreakBefore w:val="0"/>
              <w:widowControl w:val="0"/>
              <w:kinsoku/>
              <w:wordWrap/>
              <w:overflowPunct/>
              <w:topLinePunct w:val="0"/>
              <w:autoSpaceDE/>
              <w:autoSpaceDN/>
              <w:bidi w:val="0"/>
              <w:spacing w:line="460" w:lineRule="exact"/>
              <w:ind w:firstLine="480" w:firstLineChars="200"/>
              <w:textAlignment w:val="auto"/>
              <w:rPr>
                <w:rFonts w:ascii="宋体" w:hAnsi="宋体" w:cs="宋体"/>
                <w:sz w:val="24"/>
              </w:rPr>
            </w:pPr>
            <w:r>
              <w:rPr>
                <w:rFonts w:hint="eastAsia" w:ascii="宋体" w:hAnsi="宋体" w:cs="宋体"/>
                <w:sz w:val="24"/>
                <w:lang w:val="en-US" w:eastAsia="zh-CN"/>
              </w:rPr>
              <w:t>1.</w:t>
            </w:r>
            <w:r>
              <w:rPr>
                <w:rFonts w:hint="eastAsia" w:ascii="宋体" w:hAnsi="宋体" w:cs="宋体"/>
                <w:sz w:val="24"/>
              </w:rPr>
              <w:t>《建设工程工程量清单计价规范》(GB50500-2008)</w:t>
            </w:r>
          </w:p>
          <w:p w14:paraId="6570E7E9">
            <w:pPr>
              <w:keepNext w:val="0"/>
              <w:keepLines w:val="0"/>
              <w:pageBreakBefore w:val="0"/>
              <w:widowControl w:val="0"/>
              <w:kinsoku/>
              <w:wordWrap/>
              <w:overflowPunct/>
              <w:topLinePunct w:val="0"/>
              <w:autoSpaceDE/>
              <w:autoSpaceDN/>
              <w:bidi w:val="0"/>
              <w:spacing w:line="460" w:lineRule="exact"/>
              <w:ind w:firstLine="480" w:firstLineChars="200"/>
              <w:textAlignment w:val="auto"/>
              <w:rPr>
                <w:rFonts w:ascii="宋体" w:hAnsi="宋体"/>
                <w:sz w:val="24"/>
              </w:rPr>
            </w:pPr>
            <w:r>
              <w:rPr>
                <w:rFonts w:hint="eastAsia" w:ascii="宋体" w:hAnsi="宋体" w:cs="宋体"/>
                <w:sz w:val="24"/>
                <w:lang w:val="en-US" w:eastAsia="zh-CN"/>
              </w:rPr>
              <w:t>2.</w:t>
            </w:r>
            <w:r>
              <w:rPr>
                <w:rFonts w:hint="eastAsia" w:ascii="宋体" w:hAnsi="宋体"/>
                <w:sz w:val="24"/>
              </w:rPr>
              <w:t>《山东省建设工程工程量清单计价规则》（2011）</w:t>
            </w:r>
          </w:p>
          <w:p w14:paraId="2972D404">
            <w:pPr>
              <w:keepNext w:val="0"/>
              <w:keepLines w:val="0"/>
              <w:pageBreakBefore w:val="0"/>
              <w:widowControl w:val="0"/>
              <w:kinsoku/>
              <w:wordWrap/>
              <w:overflowPunct/>
              <w:topLinePunct w:val="0"/>
              <w:autoSpaceDE/>
              <w:autoSpaceDN/>
              <w:bidi w:val="0"/>
              <w:spacing w:line="460" w:lineRule="exact"/>
              <w:ind w:firstLine="480" w:firstLineChars="200"/>
              <w:textAlignment w:val="auto"/>
              <w:rPr>
                <w:rFonts w:ascii="宋体" w:hAnsi="宋体" w:cs="宋体"/>
                <w:sz w:val="24"/>
              </w:rPr>
            </w:pPr>
            <w:r>
              <w:rPr>
                <w:rFonts w:hint="eastAsia" w:ascii="宋体" w:hAnsi="宋体" w:cs="宋体"/>
                <w:sz w:val="24"/>
                <w:lang w:val="en-US" w:eastAsia="zh-CN"/>
              </w:rPr>
              <w:t>3.</w:t>
            </w:r>
            <w:r>
              <w:rPr>
                <w:rFonts w:hint="eastAsia" w:ascii="宋体" w:hAnsi="宋体"/>
                <w:sz w:val="24"/>
              </w:rPr>
              <w:t>《山东省建设工程费用项目组成及计算规则》(2011)</w:t>
            </w:r>
          </w:p>
          <w:p w14:paraId="4EBEAE44">
            <w:pPr>
              <w:keepNext w:val="0"/>
              <w:keepLines w:val="0"/>
              <w:pageBreakBefore w:val="0"/>
              <w:widowControl w:val="0"/>
              <w:kinsoku/>
              <w:wordWrap/>
              <w:overflowPunct/>
              <w:topLinePunct w:val="0"/>
              <w:autoSpaceDE/>
              <w:autoSpaceDN/>
              <w:bidi w:val="0"/>
              <w:spacing w:line="460" w:lineRule="exact"/>
              <w:ind w:firstLine="480" w:firstLineChars="200"/>
              <w:textAlignment w:val="auto"/>
              <w:rPr>
                <w:rFonts w:ascii="宋体" w:hAnsi="宋体" w:cs="宋体"/>
                <w:sz w:val="24"/>
              </w:rPr>
            </w:pPr>
            <w:r>
              <w:rPr>
                <w:rFonts w:hint="eastAsia" w:ascii="宋体" w:hAnsi="宋体" w:cs="宋体"/>
                <w:sz w:val="24"/>
                <w:lang w:val="en-US" w:eastAsia="zh-CN"/>
              </w:rPr>
              <w:t>4.</w:t>
            </w:r>
            <w:r>
              <w:rPr>
                <w:rFonts w:hint="eastAsia" w:ascii="宋体" w:hAnsi="宋体" w:cs="宋体"/>
                <w:sz w:val="24"/>
              </w:rPr>
              <w:t>招标人提供的施工图纸及相关设计答疑等资料</w:t>
            </w:r>
          </w:p>
          <w:p w14:paraId="5F264AF1">
            <w:pPr>
              <w:keepNext w:val="0"/>
              <w:keepLines w:val="0"/>
              <w:pageBreakBefore w:val="0"/>
              <w:widowControl w:val="0"/>
              <w:kinsoku/>
              <w:wordWrap/>
              <w:overflowPunct/>
              <w:topLinePunct w:val="0"/>
              <w:autoSpaceDE/>
              <w:autoSpaceDN/>
              <w:bidi w:val="0"/>
              <w:spacing w:line="460" w:lineRule="exact"/>
              <w:ind w:firstLine="480" w:firstLineChars="200"/>
              <w:textAlignment w:val="auto"/>
              <w:rPr>
                <w:rFonts w:ascii="宋体" w:hAnsi="宋体" w:cs="宋体"/>
                <w:sz w:val="24"/>
              </w:rPr>
            </w:pPr>
            <w:r>
              <w:rPr>
                <w:rFonts w:hint="eastAsia" w:ascii="宋体" w:hAnsi="宋体" w:cs="宋体"/>
                <w:sz w:val="24"/>
                <w:lang w:val="en-US" w:eastAsia="zh-CN"/>
              </w:rPr>
              <w:t>5.</w:t>
            </w:r>
            <w:r>
              <w:rPr>
                <w:rFonts w:hint="eastAsia" w:ascii="宋体" w:hAnsi="宋体" w:cs="宋体"/>
                <w:sz w:val="24"/>
              </w:rPr>
              <w:t>省和市建设主管部门颁发的计价定额和计价管理办法及有关计价要求</w:t>
            </w:r>
          </w:p>
          <w:p w14:paraId="1F4ED0D4">
            <w:pPr>
              <w:keepNext w:val="0"/>
              <w:keepLines w:val="0"/>
              <w:pageBreakBefore w:val="0"/>
              <w:widowControl w:val="0"/>
              <w:kinsoku/>
              <w:wordWrap/>
              <w:overflowPunct/>
              <w:topLinePunct w:val="0"/>
              <w:autoSpaceDE/>
              <w:autoSpaceDN/>
              <w:bidi w:val="0"/>
              <w:spacing w:line="460" w:lineRule="exact"/>
              <w:ind w:firstLine="480" w:firstLineChars="200"/>
              <w:textAlignment w:val="auto"/>
              <w:rPr>
                <w:rFonts w:hint="eastAsia" w:ascii="宋体" w:hAnsi="宋体" w:cs="宋体"/>
                <w:sz w:val="24"/>
              </w:rPr>
            </w:pPr>
            <w:r>
              <w:rPr>
                <w:rFonts w:hint="eastAsia" w:ascii="宋体" w:hAnsi="宋体" w:cs="宋体"/>
                <w:sz w:val="24"/>
                <w:lang w:val="en-US" w:eastAsia="zh-CN"/>
              </w:rPr>
              <w:t>6.</w:t>
            </w:r>
            <w:r>
              <w:rPr>
                <w:rFonts w:hint="eastAsia" w:ascii="宋体" w:hAnsi="宋体" w:cs="宋体"/>
                <w:sz w:val="24"/>
              </w:rPr>
              <w:t>与建设项目相关的标准设计图集、规范、技术资料等</w:t>
            </w:r>
          </w:p>
          <w:p w14:paraId="5F45601C">
            <w:pPr>
              <w:keepNext w:val="0"/>
              <w:keepLines w:val="0"/>
              <w:pageBreakBefore w:val="0"/>
              <w:widowControl w:val="0"/>
              <w:kinsoku/>
              <w:wordWrap/>
              <w:overflowPunct/>
              <w:topLinePunct w:val="0"/>
              <w:autoSpaceDE/>
              <w:autoSpaceDN/>
              <w:bidi w:val="0"/>
              <w:spacing w:line="460" w:lineRule="exact"/>
              <w:ind w:firstLine="480" w:firstLineChars="200"/>
              <w:textAlignment w:val="auto"/>
            </w:pPr>
            <w:r>
              <w:rPr>
                <w:rFonts w:hint="eastAsia" w:ascii="宋体" w:hAnsi="宋体" w:cs="宋体"/>
                <w:sz w:val="24"/>
              </w:rPr>
              <w:t>七、清单项目中凡注明“、以内、小于”字样者，均包括本身；注明“以上、以外、大于”字样者，均不包括本身。</w:t>
            </w:r>
          </w:p>
          <w:p w14:paraId="28196CE3">
            <w:pPr>
              <w:keepNext w:val="0"/>
              <w:keepLines w:val="0"/>
              <w:pageBreakBefore w:val="0"/>
              <w:widowControl w:val="0"/>
              <w:kinsoku/>
              <w:wordWrap/>
              <w:overflowPunct/>
              <w:topLinePunct w:val="0"/>
              <w:autoSpaceDE/>
              <w:autoSpaceDN/>
              <w:bidi w:val="0"/>
              <w:spacing w:line="460" w:lineRule="exact"/>
              <w:ind w:firstLine="480" w:firstLineChars="200"/>
              <w:textAlignment w:val="auto"/>
              <w:rPr>
                <w:rFonts w:ascii="宋体" w:hAnsi="宋体" w:cs="宋体"/>
                <w:sz w:val="24"/>
              </w:rPr>
            </w:pPr>
            <w:r>
              <w:rPr>
                <w:rFonts w:hint="eastAsia" w:ascii="宋体" w:hAnsi="宋体" w:cs="宋体"/>
                <w:sz w:val="24"/>
                <w:lang w:eastAsia="zh-CN"/>
              </w:rPr>
              <w:t>八</w:t>
            </w:r>
            <w:r>
              <w:rPr>
                <w:rFonts w:hint="eastAsia" w:ascii="宋体" w:hAnsi="宋体" w:cs="宋体"/>
                <w:sz w:val="24"/>
              </w:rPr>
              <w:t>、投标单位参与投标视为已考察工程现场、对现场情况（包括工地位置情况、道路、存贮空间、装运限制及任何其他足以影响报价的情况）已较为了解和充分预计，并能根据已了解情况合理组织完成施工，现场原有工程的实际情况视为在报价中已充分考虑，任何因忽视或误解</w:t>
            </w:r>
            <w:r>
              <w:rPr>
                <w:rFonts w:hint="eastAsia" w:ascii="宋体" w:hAnsi="宋体" w:cs="宋体"/>
                <w:sz w:val="24"/>
                <w:lang w:val="en-US" w:eastAsia="zh-CN"/>
              </w:rPr>
              <w:t>现场</w:t>
            </w:r>
            <w:r>
              <w:rPr>
                <w:rFonts w:hint="eastAsia" w:ascii="宋体" w:hAnsi="宋体" w:cs="宋体"/>
                <w:sz w:val="24"/>
              </w:rPr>
              <w:t>情况而导致的索赔或工期延长将不被批准。</w:t>
            </w:r>
          </w:p>
          <w:p w14:paraId="29214510">
            <w:pPr>
              <w:keepNext w:val="0"/>
              <w:keepLines w:val="0"/>
              <w:pageBreakBefore w:val="0"/>
              <w:widowControl w:val="0"/>
              <w:kinsoku/>
              <w:wordWrap/>
              <w:overflowPunct/>
              <w:topLinePunct w:val="0"/>
              <w:autoSpaceDE/>
              <w:autoSpaceDN/>
              <w:bidi w:val="0"/>
              <w:spacing w:line="460" w:lineRule="exact"/>
              <w:ind w:firstLine="480" w:firstLineChars="200"/>
              <w:textAlignment w:val="auto"/>
              <w:rPr>
                <w:rFonts w:ascii="宋体" w:hAnsi="宋体" w:cs="宋体"/>
                <w:sz w:val="24"/>
              </w:rPr>
            </w:pPr>
            <w:r>
              <w:rPr>
                <w:rFonts w:hint="eastAsia" w:ascii="宋体" w:hAnsi="宋体" w:cs="宋体"/>
                <w:sz w:val="24"/>
                <w:lang w:eastAsia="zh-CN"/>
              </w:rPr>
              <w:t>九</w:t>
            </w:r>
            <w:r>
              <w:rPr>
                <w:rFonts w:hint="eastAsia" w:ascii="宋体" w:hAnsi="宋体" w:cs="宋体"/>
                <w:sz w:val="24"/>
              </w:rPr>
              <w:t>、投标单位在投标报价时，应根据现场条件、招标文件要求，按照《建设工程工程量清单计价规范》</w:t>
            </w:r>
            <w:r>
              <w:rPr>
                <w:rFonts w:hint="eastAsia" w:ascii="宋体" w:hAnsi="宋体"/>
                <w:sz w:val="24"/>
              </w:rPr>
              <w:t>(GB50500-2008)</w:t>
            </w:r>
            <w:r>
              <w:rPr>
                <w:rFonts w:hint="eastAsia" w:ascii="宋体" w:hAnsi="宋体" w:cs="宋体"/>
                <w:sz w:val="24"/>
              </w:rPr>
              <w:t>、《山东省建设工程工程量清单计价规则》</w:t>
            </w:r>
            <w:r>
              <w:rPr>
                <w:rFonts w:hint="eastAsia" w:ascii="宋体" w:hAnsi="宋体"/>
                <w:sz w:val="24"/>
              </w:rPr>
              <w:t>（2011）</w:t>
            </w:r>
            <w:r>
              <w:rPr>
                <w:rFonts w:hint="eastAsia" w:ascii="宋体" w:hAnsi="宋体" w:cs="宋体"/>
                <w:sz w:val="24"/>
              </w:rPr>
              <w:t>、本清单说明及子目规定的计算规则，结合施工方案、技术规范、技术装备、技术能力、施工管理经验及市场行情等规定综合分析及测算，在保证成本且有适当利润的前提下填报。</w:t>
            </w:r>
          </w:p>
          <w:p w14:paraId="33981182">
            <w:pPr>
              <w:keepNext w:val="0"/>
              <w:keepLines w:val="0"/>
              <w:pageBreakBefore w:val="0"/>
              <w:widowControl w:val="0"/>
              <w:kinsoku/>
              <w:wordWrap/>
              <w:overflowPunct/>
              <w:topLinePunct w:val="0"/>
              <w:autoSpaceDE/>
              <w:autoSpaceDN/>
              <w:bidi w:val="0"/>
              <w:spacing w:line="460" w:lineRule="exact"/>
              <w:ind w:firstLine="480" w:firstLineChars="200"/>
              <w:textAlignment w:val="auto"/>
              <w:rPr>
                <w:rFonts w:ascii="宋体" w:hAnsi="宋体" w:cs="宋体"/>
                <w:sz w:val="24"/>
              </w:rPr>
            </w:pPr>
            <w:r>
              <w:rPr>
                <w:rFonts w:hint="eastAsia" w:ascii="宋体" w:hAnsi="宋体" w:cs="宋体"/>
                <w:sz w:val="24"/>
                <w:lang w:eastAsia="zh-CN"/>
              </w:rPr>
              <w:t>十</w:t>
            </w:r>
            <w:r>
              <w:rPr>
                <w:rFonts w:hint="eastAsia" w:ascii="宋体" w:hAnsi="宋体" w:cs="宋体"/>
                <w:sz w:val="24"/>
              </w:rPr>
              <w:t>、投标单位在投标报价时，应考虑本工程的招标范围、工期要求与承包方式、以及不同专业交叉作业影响，并将与此有关的可能产生的费用考虑在相应的投标报价中。</w:t>
            </w:r>
          </w:p>
          <w:p w14:paraId="6F8D151E">
            <w:pPr>
              <w:keepNext w:val="0"/>
              <w:keepLines w:val="0"/>
              <w:pageBreakBefore w:val="0"/>
              <w:widowControl w:val="0"/>
              <w:kinsoku/>
              <w:wordWrap/>
              <w:overflowPunct/>
              <w:topLinePunct w:val="0"/>
              <w:autoSpaceDE/>
              <w:autoSpaceDN/>
              <w:bidi w:val="0"/>
              <w:spacing w:line="460" w:lineRule="exact"/>
              <w:ind w:firstLine="480" w:firstLineChars="200"/>
              <w:textAlignment w:val="auto"/>
              <w:rPr>
                <w:rFonts w:ascii="宋体" w:hAnsi="宋体" w:cs="宋体"/>
                <w:sz w:val="24"/>
              </w:rPr>
            </w:pPr>
            <w:r>
              <w:rPr>
                <w:rFonts w:hint="eastAsia" w:ascii="宋体" w:hAnsi="宋体" w:cs="宋体"/>
                <w:sz w:val="24"/>
              </w:rPr>
              <w:t>十</w:t>
            </w:r>
            <w:r>
              <w:rPr>
                <w:rFonts w:hint="eastAsia" w:ascii="宋体" w:hAnsi="宋体" w:cs="宋体"/>
                <w:sz w:val="24"/>
                <w:lang w:eastAsia="zh-CN"/>
              </w:rPr>
              <w:t>一</w:t>
            </w:r>
            <w:r>
              <w:rPr>
                <w:rFonts w:hint="eastAsia" w:ascii="宋体" w:hAnsi="宋体" w:cs="宋体"/>
                <w:sz w:val="24"/>
              </w:rPr>
              <w:t>、投标单位在投标报价时，应根据企业自身实力结合市场信息，充分考虑市场竞争因素和市场风险进行自主报价。工程量清单计价表中的综合单价应包括完成本项目（清单子目）内容所需的人工费、材料费、机械使用费、制作费、运输费、安装费、管理费、利润、检验试验费、采保费、损耗、成品保护费等，并考虑风险因素，以及为完成本工程项目（清单子目）的施工所发生于该工程施工前和施工过程中技术、生活、安全等方面的非工程实体项目费用，以及招标文件和合同中明确的其他责任和义务。</w:t>
            </w:r>
          </w:p>
          <w:p w14:paraId="518C9D12">
            <w:pPr>
              <w:keepNext w:val="0"/>
              <w:keepLines w:val="0"/>
              <w:pageBreakBefore w:val="0"/>
              <w:widowControl w:val="0"/>
              <w:kinsoku/>
              <w:wordWrap/>
              <w:overflowPunct/>
              <w:topLinePunct w:val="0"/>
              <w:autoSpaceDE/>
              <w:autoSpaceDN/>
              <w:bidi w:val="0"/>
              <w:spacing w:line="460" w:lineRule="exact"/>
              <w:ind w:firstLine="480" w:firstLineChars="200"/>
              <w:textAlignment w:val="auto"/>
              <w:rPr>
                <w:rFonts w:ascii="宋体" w:hAnsi="宋体"/>
                <w:sz w:val="24"/>
              </w:rPr>
            </w:pPr>
            <w:r>
              <w:rPr>
                <w:rFonts w:hint="eastAsia" w:ascii="宋体" w:hAnsi="宋体" w:cs="宋体"/>
                <w:sz w:val="24"/>
              </w:rPr>
              <w:t>十</w:t>
            </w:r>
            <w:r>
              <w:rPr>
                <w:rFonts w:hint="eastAsia" w:ascii="宋体" w:hAnsi="宋体" w:cs="宋体"/>
                <w:sz w:val="24"/>
                <w:lang w:eastAsia="zh-CN"/>
              </w:rPr>
              <w:t>二</w:t>
            </w:r>
            <w:r>
              <w:rPr>
                <w:rFonts w:hint="eastAsia" w:ascii="宋体" w:hAnsi="宋体" w:cs="宋体"/>
                <w:sz w:val="24"/>
              </w:rPr>
              <w:t>、投标单位在投标时应按给定的统一格式报表，按其规定内容填写；</w:t>
            </w:r>
            <w:r>
              <w:rPr>
                <w:rFonts w:hint="eastAsia" w:ascii="宋体" w:hAnsi="宋体"/>
                <w:sz w:val="24"/>
              </w:rPr>
              <w:t>提供“单项工程费用汇总表”“单位工程汇总表”、“分部分项工程量清单计价表”、“工程量清单综合单价分析表”，“措施项目清单与计价汇总表”“工程主材汇总表”“工程设备汇总表”等。</w:t>
            </w:r>
          </w:p>
          <w:p w14:paraId="13AE7E41">
            <w:pPr>
              <w:keepNext w:val="0"/>
              <w:keepLines w:val="0"/>
              <w:pageBreakBefore w:val="0"/>
              <w:widowControl w:val="0"/>
              <w:kinsoku/>
              <w:wordWrap/>
              <w:overflowPunct/>
              <w:topLinePunct w:val="0"/>
              <w:autoSpaceDE/>
              <w:autoSpaceDN/>
              <w:bidi w:val="0"/>
              <w:spacing w:line="460" w:lineRule="exact"/>
              <w:ind w:firstLine="480" w:firstLineChars="200"/>
              <w:textAlignment w:val="auto"/>
              <w:rPr>
                <w:rFonts w:ascii="宋体" w:hAnsi="宋体" w:cs="宋体"/>
                <w:sz w:val="24"/>
              </w:rPr>
            </w:pPr>
            <w:r>
              <w:rPr>
                <w:rFonts w:hint="eastAsia" w:ascii="宋体" w:hAnsi="宋体" w:cs="宋体"/>
                <w:sz w:val="24"/>
              </w:rPr>
              <w:t>十</w:t>
            </w:r>
            <w:r>
              <w:rPr>
                <w:rFonts w:hint="eastAsia" w:ascii="宋体" w:hAnsi="宋体" w:cs="宋体"/>
                <w:sz w:val="24"/>
                <w:lang w:eastAsia="zh-CN"/>
              </w:rPr>
              <w:t>三</w:t>
            </w:r>
            <w:r>
              <w:rPr>
                <w:rFonts w:hint="eastAsia" w:ascii="宋体" w:hAnsi="宋体" w:cs="宋体"/>
                <w:sz w:val="24"/>
              </w:rPr>
              <w:t>、投标单位按照本清单填报工程量清单计价表中的综合单价，严禁不平衡报价，不得恶意降低报价扰乱市场，评标委员会有权对不合理报价进行质疑，投标单位应给予合理的答复。否则，经评标委员会评定为不合理报价的投标文件将否决其投标。如中标人编制的部分工程量清单单价与市场价偏离较大，招标人有权要求中标单位在签订合同时调整至合理价格。</w:t>
            </w:r>
          </w:p>
          <w:p w14:paraId="72932602">
            <w:pPr>
              <w:keepNext w:val="0"/>
              <w:keepLines w:val="0"/>
              <w:pageBreakBefore w:val="0"/>
              <w:widowControl w:val="0"/>
              <w:kinsoku/>
              <w:wordWrap/>
              <w:overflowPunct/>
              <w:topLinePunct w:val="0"/>
              <w:autoSpaceDE/>
              <w:autoSpaceDN/>
              <w:bidi w:val="0"/>
              <w:spacing w:line="460" w:lineRule="exact"/>
              <w:ind w:firstLine="480" w:firstLineChars="200"/>
              <w:textAlignment w:val="auto"/>
              <w:rPr>
                <w:rFonts w:ascii="宋体" w:hAnsi="宋体" w:cs="宋体"/>
                <w:sz w:val="24"/>
              </w:rPr>
            </w:pPr>
            <w:r>
              <w:rPr>
                <w:rFonts w:hint="eastAsia" w:ascii="宋体" w:hAnsi="宋体" w:cs="宋体"/>
                <w:sz w:val="24"/>
              </w:rPr>
              <w:t>十</w:t>
            </w:r>
            <w:r>
              <w:rPr>
                <w:rFonts w:hint="eastAsia" w:ascii="宋体" w:hAnsi="宋体" w:cs="宋体"/>
                <w:sz w:val="24"/>
                <w:lang w:eastAsia="zh-CN"/>
              </w:rPr>
              <w:t>四</w:t>
            </w:r>
            <w:r>
              <w:rPr>
                <w:rFonts w:hint="eastAsia" w:ascii="宋体" w:hAnsi="宋体" w:cs="宋体"/>
                <w:sz w:val="24"/>
              </w:rPr>
              <w:t>、投标单位必须完成所有按国家相关法律法规、行业规范等文件要求的检验、检测和验收工作，结算时不增加此部分费用。</w:t>
            </w:r>
          </w:p>
          <w:p w14:paraId="4221383D">
            <w:pPr>
              <w:keepNext w:val="0"/>
              <w:keepLines w:val="0"/>
              <w:pageBreakBefore w:val="0"/>
              <w:widowControl w:val="0"/>
              <w:kinsoku/>
              <w:wordWrap/>
              <w:overflowPunct/>
              <w:topLinePunct w:val="0"/>
              <w:autoSpaceDE/>
              <w:autoSpaceDN/>
              <w:bidi w:val="0"/>
              <w:spacing w:line="460" w:lineRule="exact"/>
              <w:ind w:firstLine="480" w:firstLineChars="200"/>
              <w:textAlignment w:val="auto"/>
              <w:rPr>
                <w:rFonts w:ascii="宋体" w:hAnsi="宋体" w:cs="宋体"/>
                <w:sz w:val="24"/>
              </w:rPr>
            </w:pPr>
            <w:r>
              <w:rPr>
                <w:rFonts w:hint="eastAsia" w:ascii="宋体" w:hAnsi="宋体" w:cs="宋体"/>
                <w:sz w:val="24"/>
              </w:rPr>
              <w:t>十</w:t>
            </w:r>
            <w:r>
              <w:rPr>
                <w:rFonts w:hint="eastAsia" w:ascii="宋体" w:hAnsi="宋体" w:cs="宋体"/>
                <w:sz w:val="24"/>
                <w:lang w:eastAsia="zh-CN"/>
              </w:rPr>
              <w:t>五</w:t>
            </w:r>
            <w:r>
              <w:rPr>
                <w:rFonts w:hint="eastAsia" w:ascii="宋体" w:hAnsi="宋体" w:cs="宋体"/>
                <w:sz w:val="24"/>
              </w:rPr>
              <w:t>、所有材料均应选用符合国标的产品，</w:t>
            </w:r>
            <w:r>
              <w:rPr>
                <w:rFonts w:hint="eastAsia" w:ascii="宋体" w:hAnsi="宋体"/>
                <w:sz w:val="24"/>
              </w:rPr>
              <w:t>建设单位规定品牌档次的材料要在投标文件中注明选用材料的品牌，</w:t>
            </w:r>
            <w:r>
              <w:rPr>
                <w:rFonts w:hint="eastAsia" w:ascii="宋体" w:hAnsi="宋体" w:cs="宋体"/>
                <w:sz w:val="24"/>
              </w:rPr>
              <w:t>所有由投标单位自主报价的材料，采购前中标单位均须提供样品，经招标人同意后方可使用。若中标单位提供的样品或因其它的原因达不到招标人的要求，招标人有权指定供应商，一切费用由中标单位承担。</w:t>
            </w:r>
          </w:p>
          <w:p w14:paraId="7539E3B0">
            <w:pPr>
              <w:keepNext w:val="0"/>
              <w:keepLines w:val="0"/>
              <w:pageBreakBefore w:val="0"/>
              <w:widowControl w:val="0"/>
              <w:kinsoku/>
              <w:wordWrap/>
              <w:overflowPunct/>
              <w:topLinePunct w:val="0"/>
              <w:autoSpaceDE/>
              <w:autoSpaceDN/>
              <w:bidi w:val="0"/>
              <w:spacing w:line="460" w:lineRule="exact"/>
              <w:ind w:firstLine="480" w:firstLineChars="200"/>
              <w:textAlignment w:val="auto"/>
              <w:rPr>
                <w:rFonts w:ascii="宋体" w:hAnsi="宋体" w:cs="宋体"/>
                <w:sz w:val="24"/>
                <w:highlight w:val="none"/>
              </w:rPr>
            </w:pPr>
            <w:r>
              <w:rPr>
                <w:rFonts w:hint="eastAsia" w:ascii="宋体" w:hAnsi="宋体" w:cs="宋体"/>
                <w:sz w:val="24"/>
                <w:highlight w:val="none"/>
              </w:rPr>
              <w:t>十</w:t>
            </w:r>
            <w:r>
              <w:rPr>
                <w:rFonts w:hint="eastAsia" w:ascii="宋体" w:hAnsi="宋体" w:cs="宋体"/>
                <w:sz w:val="24"/>
                <w:highlight w:val="none"/>
                <w:lang w:eastAsia="zh-CN"/>
              </w:rPr>
              <w:t>六</w:t>
            </w:r>
            <w:r>
              <w:rPr>
                <w:rFonts w:hint="eastAsia" w:ascii="宋体" w:hAnsi="宋体" w:cs="宋体"/>
                <w:sz w:val="24"/>
                <w:highlight w:val="none"/>
              </w:rPr>
              <w:t>、投标单位在投标报价中，规费和税金必须足额计取，取费基数及费率须按规定计取不得调整，否则按否决投标处理。</w:t>
            </w:r>
          </w:p>
          <w:p w14:paraId="1B7A822D">
            <w:pPr>
              <w:keepNext w:val="0"/>
              <w:keepLines w:val="0"/>
              <w:pageBreakBefore w:val="0"/>
              <w:widowControl w:val="0"/>
              <w:kinsoku/>
              <w:wordWrap/>
              <w:overflowPunct/>
              <w:topLinePunct w:val="0"/>
              <w:autoSpaceDE/>
              <w:autoSpaceDN/>
              <w:bidi w:val="0"/>
              <w:spacing w:line="460" w:lineRule="exact"/>
              <w:ind w:left="67" w:leftChars="32" w:firstLine="427" w:firstLineChars="178"/>
              <w:textAlignment w:val="auto"/>
              <w:rPr>
                <w:rFonts w:ascii="宋体" w:hAnsi="宋体"/>
                <w:sz w:val="24"/>
                <w:highlight w:val="none"/>
              </w:rPr>
            </w:pPr>
            <w:r>
              <w:rPr>
                <w:rFonts w:hint="eastAsia" w:ascii="宋体" w:hAnsi="宋体" w:cs="宋体"/>
                <w:sz w:val="24"/>
                <w:highlight w:val="none"/>
              </w:rPr>
              <w:t>十</w:t>
            </w:r>
            <w:r>
              <w:rPr>
                <w:rFonts w:hint="eastAsia" w:ascii="宋体" w:hAnsi="宋体" w:cs="宋体"/>
                <w:sz w:val="24"/>
                <w:highlight w:val="none"/>
                <w:lang w:eastAsia="zh-CN"/>
              </w:rPr>
              <w:t>七</w:t>
            </w:r>
            <w:r>
              <w:rPr>
                <w:rFonts w:hint="eastAsia" w:ascii="宋体" w:hAnsi="宋体" w:cs="宋体"/>
                <w:sz w:val="24"/>
                <w:highlight w:val="none"/>
              </w:rPr>
              <w:t>、</w:t>
            </w:r>
            <w:r>
              <w:rPr>
                <w:rFonts w:hint="eastAsia" w:ascii="宋体" w:hAnsi="宋体" w:cs="宋体"/>
                <w:b/>
                <w:bCs/>
                <w:sz w:val="24"/>
                <w:highlight w:val="none"/>
              </w:rPr>
              <w:t>投标单位在投标报价时，按照一般计税法进行报价</w:t>
            </w:r>
            <w:r>
              <w:rPr>
                <w:rFonts w:hint="eastAsia" w:ascii="宋体" w:hAnsi="宋体" w:cs="宋体"/>
                <w:b/>
                <w:bCs/>
                <w:sz w:val="24"/>
                <w:highlight w:val="none"/>
                <w:lang w:eastAsia="zh-CN"/>
              </w:rPr>
              <w:t>，增值税税率为</w:t>
            </w:r>
            <w:r>
              <w:rPr>
                <w:rFonts w:hint="eastAsia" w:ascii="宋体" w:hAnsi="宋体" w:cs="宋体"/>
                <w:b/>
                <w:bCs/>
                <w:sz w:val="24"/>
                <w:highlight w:val="none"/>
                <w:lang w:val="en-US" w:eastAsia="zh-CN"/>
              </w:rPr>
              <w:t>9%</w:t>
            </w:r>
            <w:r>
              <w:rPr>
                <w:rFonts w:hint="eastAsia" w:ascii="宋体" w:hAnsi="宋体" w:cs="宋体"/>
                <w:b/>
                <w:bCs/>
                <w:sz w:val="24"/>
                <w:highlight w:val="none"/>
              </w:rPr>
              <w:t>。中标后需按规定开具增值税专用发票。若后期出现政策性税率调整，或因中标单位纳税资格所开具的增值税专用发票税率与投标税率不一致的情况，最终结算时税率按照中标单位实际开具的增值税专用发票税率计取。</w:t>
            </w:r>
          </w:p>
          <w:p w14:paraId="6CA07C4D">
            <w:pPr>
              <w:keepNext w:val="0"/>
              <w:keepLines w:val="0"/>
              <w:pageBreakBefore w:val="0"/>
              <w:widowControl w:val="0"/>
              <w:kinsoku/>
              <w:wordWrap/>
              <w:overflowPunct/>
              <w:topLinePunct w:val="0"/>
              <w:autoSpaceDE/>
              <w:autoSpaceDN/>
              <w:bidi w:val="0"/>
              <w:spacing w:line="460" w:lineRule="exact"/>
              <w:ind w:left="67" w:leftChars="32" w:firstLine="427" w:firstLineChars="178"/>
              <w:textAlignment w:val="auto"/>
              <w:rPr>
                <w:rFonts w:ascii="宋体" w:hAnsi="宋体"/>
                <w:sz w:val="24"/>
                <w:highlight w:val="none"/>
              </w:rPr>
            </w:pPr>
            <w:r>
              <w:rPr>
                <w:rFonts w:hint="eastAsia" w:ascii="宋体" w:hAnsi="宋体"/>
                <w:sz w:val="24"/>
                <w:highlight w:val="none"/>
              </w:rPr>
              <w:t>十</w:t>
            </w:r>
            <w:r>
              <w:rPr>
                <w:rFonts w:hint="eastAsia" w:ascii="宋体" w:hAnsi="宋体"/>
                <w:sz w:val="24"/>
                <w:highlight w:val="none"/>
                <w:lang w:eastAsia="zh-CN"/>
              </w:rPr>
              <w:t>八</w:t>
            </w:r>
            <w:r>
              <w:rPr>
                <w:rFonts w:hint="eastAsia" w:ascii="宋体" w:hAnsi="宋体"/>
                <w:sz w:val="24"/>
                <w:highlight w:val="none"/>
              </w:rPr>
              <w:t>、投标单位在投标报价时，应综合考虑以下费用:</w:t>
            </w:r>
          </w:p>
          <w:p w14:paraId="58937149">
            <w:pPr>
              <w:keepNext w:val="0"/>
              <w:keepLines w:val="0"/>
              <w:pageBreakBefore w:val="0"/>
              <w:widowControl w:val="0"/>
              <w:kinsoku/>
              <w:wordWrap/>
              <w:overflowPunct/>
              <w:topLinePunct w:val="0"/>
              <w:autoSpaceDE/>
              <w:autoSpaceDN/>
              <w:bidi w:val="0"/>
              <w:spacing w:line="460" w:lineRule="exact"/>
              <w:ind w:firstLine="480" w:firstLineChars="200"/>
              <w:textAlignment w:val="auto"/>
              <w:rPr>
                <w:rFonts w:ascii="宋体" w:hAnsi="宋体" w:cs="宋体"/>
                <w:sz w:val="24"/>
                <w:highlight w:val="none"/>
              </w:rPr>
            </w:pPr>
            <w:r>
              <w:rPr>
                <w:rFonts w:hint="eastAsia" w:ascii="宋体" w:hAnsi="宋体" w:cs="宋体"/>
                <w:sz w:val="24"/>
                <w:highlight w:val="none"/>
                <w:lang w:val="en-US" w:eastAsia="zh-CN"/>
              </w:rPr>
              <w:t>1.</w:t>
            </w:r>
            <w:r>
              <w:rPr>
                <w:rFonts w:hint="eastAsia" w:ascii="宋体" w:hAnsi="宋体" w:cs="宋体"/>
                <w:sz w:val="24"/>
                <w:highlight w:val="none"/>
              </w:rPr>
              <w:t>图纸与清单不符的以清单为准，清单未注明的以图纸为准。</w:t>
            </w:r>
          </w:p>
          <w:p w14:paraId="36F7DE62">
            <w:pPr>
              <w:keepNext w:val="0"/>
              <w:keepLines w:val="0"/>
              <w:pageBreakBefore w:val="0"/>
              <w:widowControl w:val="0"/>
              <w:kinsoku/>
              <w:wordWrap/>
              <w:overflowPunct/>
              <w:topLinePunct w:val="0"/>
              <w:autoSpaceDE/>
              <w:autoSpaceDN/>
              <w:bidi w:val="0"/>
              <w:spacing w:line="460" w:lineRule="exact"/>
              <w:ind w:firstLine="480" w:firstLineChars="200"/>
              <w:textAlignment w:val="auto"/>
              <w:rPr>
                <w:rFonts w:ascii="宋体" w:hAnsi="宋体" w:cs="宋体"/>
                <w:sz w:val="24"/>
                <w:highlight w:val="none"/>
              </w:rPr>
            </w:pPr>
            <w:r>
              <w:rPr>
                <w:rFonts w:hint="eastAsia" w:ascii="宋体" w:hAnsi="宋体" w:cs="宋体"/>
                <w:sz w:val="24"/>
                <w:highlight w:val="none"/>
                <w:lang w:val="en-US" w:eastAsia="zh-CN"/>
              </w:rPr>
              <w:t>2.</w:t>
            </w:r>
            <w:r>
              <w:rPr>
                <w:rFonts w:hint="eastAsia" w:ascii="宋体" w:hAnsi="宋体" w:cs="宋体"/>
                <w:sz w:val="24"/>
                <w:highlight w:val="none"/>
              </w:rPr>
              <w:t>工程量清单中的工作内容和项目特征描述，均为分部分项清单项目的主要内容。若有未列全的其他内容由投标单位按照招标文件、设计图纸、规范等资料要求综合考虑。设计及规范等资料未明确的由投标单位根据现场考察、施工经验和相关资料综合考虑。或于答疑前书面提出，在答疑时统一解决。所有分部分项工程量清单均以完成该清单项目的所有内容为准考虑到综合报价中，结算时不予调整。结算时对清单特征描述中未施工的部分予以相应的扣除。</w:t>
            </w:r>
          </w:p>
          <w:p w14:paraId="7FE33D16">
            <w:pPr>
              <w:keepNext w:val="0"/>
              <w:keepLines w:val="0"/>
              <w:pageBreakBefore w:val="0"/>
              <w:widowControl w:val="0"/>
              <w:kinsoku/>
              <w:wordWrap/>
              <w:overflowPunct/>
              <w:topLinePunct w:val="0"/>
              <w:autoSpaceDE/>
              <w:autoSpaceDN/>
              <w:bidi w:val="0"/>
              <w:spacing w:line="460" w:lineRule="exact"/>
              <w:ind w:firstLine="480" w:firstLineChars="200"/>
              <w:textAlignment w:val="auto"/>
              <w:rPr>
                <w:rFonts w:ascii="宋体" w:hAnsi="宋体" w:cs="宋体"/>
                <w:sz w:val="24"/>
                <w:highlight w:val="none"/>
              </w:rPr>
            </w:pPr>
            <w:r>
              <w:rPr>
                <w:rFonts w:hint="eastAsia" w:ascii="宋体" w:hAnsi="宋体" w:cs="宋体"/>
                <w:sz w:val="24"/>
                <w:highlight w:val="none"/>
                <w:lang w:val="en-US" w:eastAsia="zh-CN"/>
              </w:rPr>
              <w:t>3.</w:t>
            </w:r>
            <w:r>
              <w:rPr>
                <w:rFonts w:hint="eastAsia" w:ascii="宋体" w:hAnsi="宋体" w:cs="宋体"/>
                <w:sz w:val="24"/>
                <w:highlight w:val="none"/>
              </w:rPr>
              <w:t>本工程的主要材料，因建设单位提出材料变更导致材料产生差价建设单位给予找补差价，但差价不再参与取费,只计取规费</w:t>
            </w:r>
            <w:r>
              <w:rPr>
                <w:rFonts w:hint="eastAsia" w:ascii="宋体" w:hAnsi="宋体" w:cs="宋体"/>
                <w:sz w:val="24"/>
                <w:highlight w:val="none"/>
                <w:lang w:eastAsia="zh-CN"/>
              </w:rPr>
              <w:t>和</w:t>
            </w:r>
            <w:r>
              <w:rPr>
                <w:rFonts w:hint="eastAsia" w:ascii="宋体" w:hAnsi="宋体" w:cs="宋体"/>
                <w:sz w:val="24"/>
                <w:highlight w:val="none"/>
              </w:rPr>
              <w:t>税金。</w:t>
            </w:r>
          </w:p>
          <w:p w14:paraId="460D5240">
            <w:pPr>
              <w:keepNext w:val="0"/>
              <w:keepLines w:val="0"/>
              <w:pageBreakBefore w:val="0"/>
              <w:widowControl w:val="0"/>
              <w:kinsoku/>
              <w:wordWrap/>
              <w:overflowPunct/>
              <w:topLinePunct w:val="0"/>
              <w:autoSpaceDE/>
              <w:autoSpaceDN/>
              <w:bidi w:val="0"/>
              <w:spacing w:line="460" w:lineRule="exact"/>
              <w:ind w:firstLine="480" w:firstLineChars="200"/>
              <w:textAlignment w:val="auto"/>
              <w:rPr>
                <w:rFonts w:ascii="宋体" w:hAnsi="宋体" w:cs="宋体"/>
                <w:sz w:val="24"/>
                <w:highlight w:val="none"/>
              </w:rPr>
            </w:pPr>
            <w:r>
              <w:rPr>
                <w:rFonts w:hint="eastAsia" w:ascii="宋体" w:hAnsi="宋体" w:cs="宋体"/>
                <w:sz w:val="24"/>
                <w:highlight w:val="none"/>
                <w:lang w:val="en-US" w:eastAsia="zh-CN"/>
              </w:rPr>
              <w:t>4.</w:t>
            </w:r>
            <w:r>
              <w:rPr>
                <w:rFonts w:hint="eastAsia" w:ascii="宋体" w:hAnsi="宋体" w:cs="宋体"/>
                <w:sz w:val="24"/>
                <w:highlight w:val="none"/>
              </w:rPr>
              <w:t>所有投标报价材料均应包括其采购保管费用，运输费、施工现场内外搬运费、二次倒运费、检验试验费等所有费用，并根据实际情况考虑材料的损耗率，损耗率应在“工程量清单综合单价分析表”中有明确体现。结算时不再因损耗及运距等因素而调整综合单价。</w:t>
            </w:r>
          </w:p>
          <w:p w14:paraId="64201179">
            <w:pPr>
              <w:keepNext w:val="0"/>
              <w:keepLines w:val="0"/>
              <w:pageBreakBefore w:val="0"/>
              <w:widowControl w:val="0"/>
              <w:kinsoku/>
              <w:wordWrap/>
              <w:overflowPunct/>
              <w:topLinePunct w:val="0"/>
              <w:autoSpaceDE/>
              <w:autoSpaceDN/>
              <w:bidi w:val="0"/>
              <w:spacing w:line="460" w:lineRule="exact"/>
              <w:ind w:firstLine="480" w:firstLineChars="200"/>
              <w:textAlignment w:val="auto"/>
              <w:rPr>
                <w:rFonts w:ascii="宋体" w:hAnsi="宋体" w:cs="宋体"/>
                <w:sz w:val="24"/>
                <w:highlight w:val="none"/>
              </w:rPr>
            </w:pPr>
            <w:r>
              <w:rPr>
                <w:rFonts w:hint="eastAsia" w:ascii="宋体" w:hAnsi="宋体" w:cs="宋体"/>
                <w:sz w:val="24"/>
                <w:highlight w:val="none"/>
                <w:lang w:val="en-US" w:eastAsia="zh-CN"/>
              </w:rPr>
              <w:t>5.</w:t>
            </w:r>
            <w:r>
              <w:rPr>
                <w:rFonts w:hint="eastAsia" w:ascii="宋体" w:hAnsi="宋体" w:cs="宋体"/>
                <w:sz w:val="24"/>
                <w:highlight w:val="none"/>
              </w:rPr>
              <w:t>中标单位为本工程提供的各类车辆及机械设备费用，包括机械设备的进出场、装卸、拼装、交通标示牌、警示牌等所有费用，应包括在投标报价中，投标单位应充分考虑施工过程中发生的各种机械的多次进出场和机械停滞的费用及风险费用，结算时不增加此部分费用。</w:t>
            </w:r>
          </w:p>
          <w:p w14:paraId="336687E1">
            <w:pPr>
              <w:keepNext w:val="0"/>
              <w:keepLines w:val="0"/>
              <w:pageBreakBefore w:val="0"/>
              <w:widowControl w:val="0"/>
              <w:kinsoku/>
              <w:wordWrap/>
              <w:overflowPunct/>
              <w:topLinePunct w:val="0"/>
              <w:autoSpaceDE/>
              <w:autoSpaceDN/>
              <w:bidi w:val="0"/>
              <w:spacing w:line="460" w:lineRule="exact"/>
              <w:ind w:firstLine="480" w:firstLineChars="200"/>
              <w:textAlignment w:val="auto"/>
              <w:rPr>
                <w:rFonts w:ascii="宋体" w:hAnsi="宋体" w:cs="宋体"/>
                <w:sz w:val="24"/>
                <w:highlight w:val="none"/>
              </w:rPr>
            </w:pPr>
            <w:r>
              <w:rPr>
                <w:rFonts w:hint="eastAsia" w:ascii="宋体" w:hAnsi="宋体" w:cs="宋体"/>
                <w:sz w:val="24"/>
                <w:highlight w:val="none"/>
                <w:lang w:val="en-US" w:eastAsia="zh-CN"/>
              </w:rPr>
              <w:t>6.</w:t>
            </w:r>
            <w:r>
              <w:rPr>
                <w:rFonts w:hint="eastAsia" w:ascii="宋体" w:hAnsi="宋体" w:cs="宋体"/>
                <w:sz w:val="24"/>
                <w:highlight w:val="none"/>
              </w:rPr>
              <w:t>投标单位应根据现场实际情况，自行考虑临时设施的搭设位置，但必须符合规定。无论场内场外，结算时不再增加此部分费用。</w:t>
            </w:r>
          </w:p>
          <w:p w14:paraId="7C5C7184">
            <w:pPr>
              <w:keepNext w:val="0"/>
              <w:keepLines w:val="0"/>
              <w:pageBreakBefore w:val="0"/>
              <w:widowControl w:val="0"/>
              <w:kinsoku/>
              <w:wordWrap/>
              <w:overflowPunct/>
              <w:topLinePunct w:val="0"/>
              <w:autoSpaceDE/>
              <w:autoSpaceDN/>
              <w:bidi w:val="0"/>
              <w:spacing w:line="460" w:lineRule="exact"/>
              <w:ind w:firstLine="480" w:firstLineChars="200"/>
              <w:textAlignment w:val="auto"/>
              <w:rPr>
                <w:rFonts w:hint="eastAsia" w:ascii="宋体" w:hAnsi="宋体" w:cs="宋体"/>
                <w:sz w:val="24"/>
                <w:highlight w:val="none"/>
              </w:rPr>
            </w:pPr>
            <w:r>
              <w:rPr>
                <w:rFonts w:hint="eastAsia" w:ascii="宋体" w:hAnsi="宋体" w:cs="Times New Roman"/>
                <w:sz w:val="24"/>
                <w:highlight w:val="none"/>
                <w:lang w:val="en-US" w:eastAsia="zh-CN"/>
              </w:rPr>
              <w:t>7.</w:t>
            </w:r>
            <w:r>
              <w:rPr>
                <w:rFonts w:hint="eastAsia" w:ascii="宋体" w:hAnsi="宋体" w:eastAsia="宋体" w:cs="Times New Roman"/>
                <w:sz w:val="24"/>
                <w:highlight w:val="none"/>
                <w:lang w:val="en-US" w:eastAsia="zh-CN"/>
              </w:rPr>
              <w:t>措施项目（一）</w:t>
            </w:r>
            <w:r>
              <w:rPr>
                <w:rFonts w:hint="eastAsia" w:ascii="宋体" w:hAnsi="宋体" w:cs="Times New Roman"/>
                <w:sz w:val="24"/>
                <w:highlight w:val="none"/>
                <w:lang w:val="en-US" w:eastAsia="zh-CN"/>
              </w:rPr>
              <w:t>、</w:t>
            </w:r>
            <w:r>
              <w:rPr>
                <w:rFonts w:hint="eastAsia" w:ascii="宋体" w:hAnsi="宋体" w:eastAsia="宋体" w:cs="Times New Roman"/>
                <w:sz w:val="24"/>
                <w:highlight w:val="none"/>
                <w:lang w:val="en-US" w:eastAsia="zh-CN"/>
              </w:rPr>
              <w:t>措施费（二）包干计取使用，投标单位对措施费用的投标报价，除工程量清单所列措施项目外，还应根据招标文件、补充招标文件的要求及自身拟订的本工程施工组织设计、施工方案以及工程现场的实际情况和投标单位的施工经验、投标单位本企业的实际情况等增列项目并报价，已单独列项的措施项目费用的报价，投标人应充分考虑施工现场的具体情况自主报价，未单独列项的措施费用视为已包括在综合单价中</w:t>
            </w:r>
            <w:r>
              <w:rPr>
                <w:rFonts w:hint="eastAsia" w:ascii="宋体" w:hAnsi="宋体" w:cs="宋体"/>
                <w:sz w:val="24"/>
                <w:highlight w:val="none"/>
              </w:rPr>
              <w:t>。</w:t>
            </w:r>
          </w:p>
          <w:p w14:paraId="3131AD94">
            <w:pPr>
              <w:keepNext w:val="0"/>
              <w:keepLines w:val="0"/>
              <w:pageBreakBefore w:val="0"/>
              <w:widowControl w:val="0"/>
              <w:kinsoku/>
              <w:wordWrap/>
              <w:overflowPunct/>
              <w:topLinePunct w:val="0"/>
              <w:autoSpaceDE/>
              <w:autoSpaceDN/>
              <w:bidi w:val="0"/>
              <w:spacing w:line="460" w:lineRule="exact"/>
              <w:ind w:firstLine="480" w:firstLineChars="200"/>
              <w:textAlignment w:val="auto"/>
            </w:pPr>
            <w:r>
              <w:rPr>
                <w:rFonts w:hint="eastAsia" w:ascii="宋体" w:hAnsi="宋体" w:cs="宋体"/>
                <w:sz w:val="24"/>
                <w:lang w:eastAsia="zh-CN"/>
              </w:rPr>
              <w:t>十九</w:t>
            </w:r>
            <w:r>
              <w:rPr>
                <w:rFonts w:hint="eastAsia" w:ascii="宋体" w:hAnsi="宋体" w:cs="宋体"/>
                <w:sz w:val="24"/>
              </w:rPr>
              <w:t>、安装工程清单报价时，投标单位应注意:</w:t>
            </w:r>
          </w:p>
          <w:p w14:paraId="62C0726E">
            <w:pPr>
              <w:keepNext w:val="0"/>
              <w:keepLines w:val="0"/>
              <w:pageBreakBefore w:val="0"/>
              <w:widowControl w:val="0"/>
              <w:kinsoku/>
              <w:wordWrap/>
              <w:overflowPunct/>
              <w:topLinePunct w:val="0"/>
              <w:autoSpaceDE/>
              <w:autoSpaceDN/>
              <w:bidi w:val="0"/>
              <w:snapToGrid w:val="0"/>
              <w:spacing w:line="460" w:lineRule="exact"/>
              <w:ind w:firstLine="480" w:firstLineChars="200"/>
              <w:textAlignment w:val="auto"/>
              <w:rPr>
                <w:rFonts w:ascii="宋体" w:hAnsi="宋体"/>
                <w:sz w:val="24"/>
              </w:rPr>
            </w:pPr>
            <w:r>
              <w:rPr>
                <w:rFonts w:hint="eastAsia" w:ascii="宋体" w:hAnsi="宋体"/>
                <w:sz w:val="24"/>
              </w:rPr>
              <w:t>1</w:t>
            </w:r>
            <w:r>
              <w:rPr>
                <w:rFonts w:ascii="宋体" w:hAnsi="宋体"/>
                <w:sz w:val="24"/>
              </w:rPr>
              <w:t>.</w:t>
            </w:r>
            <w:r>
              <w:rPr>
                <w:rFonts w:hint="eastAsia" w:ascii="宋体" w:hAnsi="宋体"/>
                <w:sz w:val="24"/>
              </w:rPr>
              <w:t>分部分项清单中设备安装项目，报价时综合单价中只考虑安装费用，设备费用在设备汇总表中列出，计入相应的“单位工程费汇总表”中。</w:t>
            </w:r>
          </w:p>
          <w:p w14:paraId="288EDAFF">
            <w:pPr>
              <w:keepNext w:val="0"/>
              <w:keepLines w:val="0"/>
              <w:pageBreakBefore w:val="0"/>
              <w:widowControl w:val="0"/>
              <w:kinsoku/>
              <w:wordWrap/>
              <w:overflowPunct/>
              <w:topLinePunct w:val="0"/>
              <w:autoSpaceDE/>
              <w:autoSpaceDN/>
              <w:bidi w:val="0"/>
              <w:snapToGrid w:val="0"/>
              <w:spacing w:line="460" w:lineRule="exact"/>
              <w:ind w:firstLine="480" w:firstLineChars="200"/>
              <w:textAlignment w:val="auto"/>
              <w:rPr>
                <w:rFonts w:ascii="宋体" w:hAnsi="宋体"/>
                <w:sz w:val="24"/>
              </w:rPr>
            </w:pPr>
            <w:r>
              <w:rPr>
                <w:rFonts w:ascii="宋体" w:hAnsi="宋体"/>
                <w:sz w:val="24"/>
              </w:rPr>
              <w:t>2</w:t>
            </w:r>
            <w:r>
              <w:rPr>
                <w:rFonts w:hint="eastAsia" w:ascii="宋体" w:hAnsi="宋体"/>
                <w:sz w:val="24"/>
              </w:rPr>
              <w:t>.线缆敷设工程量是按设计图示的就位后净尺寸计算（包括水平、垂直走向）。电缆各处预留长度和波形余度及损耗均考虑在综合单价中。电缆敷设时不论采用何种连接方式综合单价均不做调整。电缆的中间头、终端头、肘型头等接头考虑在电缆敷设的综合单价中。</w:t>
            </w:r>
          </w:p>
          <w:p w14:paraId="53151618">
            <w:pPr>
              <w:keepNext w:val="0"/>
              <w:keepLines w:val="0"/>
              <w:pageBreakBefore w:val="0"/>
              <w:widowControl w:val="0"/>
              <w:kinsoku/>
              <w:wordWrap/>
              <w:overflowPunct/>
              <w:topLinePunct w:val="0"/>
              <w:autoSpaceDE/>
              <w:autoSpaceDN/>
              <w:bidi w:val="0"/>
              <w:snapToGrid w:val="0"/>
              <w:spacing w:line="460" w:lineRule="exact"/>
              <w:ind w:firstLine="480" w:firstLineChars="200"/>
              <w:textAlignment w:val="auto"/>
              <w:rPr>
                <w:rFonts w:hint="eastAsia" w:ascii="宋体" w:hAnsi="宋体"/>
                <w:sz w:val="24"/>
              </w:rPr>
            </w:pPr>
            <w:r>
              <w:rPr>
                <w:rFonts w:hint="eastAsia" w:ascii="宋体" w:hAnsi="宋体"/>
                <w:sz w:val="24"/>
              </w:rPr>
              <w:t>3.电气配管报价中含开关盒、接线盒的安装及材料费，均不再单独列项。</w:t>
            </w:r>
          </w:p>
          <w:p w14:paraId="38498C29">
            <w:pPr>
              <w:keepNext w:val="0"/>
              <w:keepLines w:val="0"/>
              <w:pageBreakBefore w:val="0"/>
              <w:widowControl w:val="0"/>
              <w:kinsoku/>
              <w:wordWrap/>
              <w:overflowPunct/>
              <w:topLinePunct w:val="0"/>
              <w:autoSpaceDE/>
              <w:autoSpaceDN/>
              <w:bidi w:val="0"/>
              <w:snapToGrid w:val="0"/>
              <w:spacing w:line="460" w:lineRule="exact"/>
              <w:ind w:firstLine="480" w:firstLineChars="200"/>
              <w:textAlignment w:val="auto"/>
              <w:rPr>
                <w:rFonts w:hint="eastAsia" w:ascii="宋体" w:hAnsi="宋体"/>
                <w:sz w:val="24"/>
              </w:rPr>
            </w:pPr>
            <w:r>
              <w:rPr>
                <w:rFonts w:hint="eastAsia" w:ascii="宋体" w:hAnsi="宋体"/>
                <w:sz w:val="24"/>
              </w:rPr>
              <w:t>4.各类标志费用应综合考虑在清单报价中，结算时不再计取。</w:t>
            </w:r>
          </w:p>
          <w:p w14:paraId="1FC65E58">
            <w:pPr>
              <w:keepNext w:val="0"/>
              <w:keepLines w:val="0"/>
              <w:pageBreakBefore w:val="0"/>
              <w:widowControl w:val="0"/>
              <w:kinsoku/>
              <w:wordWrap/>
              <w:overflowPunct/>
              <w:topLinePunct w:val="0"/>
              <w:autoSpaceDE/>
              <w:autoSpaceDN/>
              <w:bidi w:val="0"/>
              <w:snapToGrid w:val="0"/>
              <w:spacing w:line="460" w:lineRule="exact"/>
              <w:ind w:firstLine="480" w:firstLineChars="200"/>
              <w:textAlignment w:val="auto"/>
              <w:rPr>
                <w:rFonts w:hint="eastAsia" w:ascii="宋体" w:hAnsi="宋体"/>
                <w:sz w:val="24"/>
              </w:rPr>
            </w:pPr>
            <w:r>
              <w:rPr>
                <w:rFonts w:hint="eastAsia" w:ascii="宋体" w:hAnsi="宋体"/>
                <w:sz w:val="24"/>
              </w:rPr>
              <w:t>5.施工单位应充分仔细阅读图纸，超高、高层、管井、暗室洞库</w:t>
            </w:r>
            <w:r>
              <w:rPr>
                <w:rFonts w:hint="eastAsia" w:ascii="宋体" w:hAnsi="宋体"/>
                <w:sz w:val="24"/>
                <w:lang w:val="en-US" w:eastAsia="zh-CN"/>
              </w:rPr>
              <w:t>等</w:t>
            </w:r>
            <w:r>
              <w:rPr>
                <w:rFonts w:hint="eastAsia" w:ascii="宋体" w:hAnsi="宋体"/>
                <w:sz w:val="24"/>
              </w:rPr>
              <w:t>不同高度</w:t>
            </w:r>
            <w:r>
              <w:rPr>
                <w:rFonts w:hint="eastAsia" w:ascii="宋体" w:hAnsi="宋体"/>
                <w:sz w:val="24"/>
                <w:lang w:val="en-US" w:eastAsia="zh-CN"/>
              </w:rPr>
              <w:t>的</w:t>
            </w:r>
            <w:r>
              <w:rPr>
                <w:rFonts w:hint="eastAsia" w:ascii="宋体" w:hAnsi="宋体"/>
                <w:sz w:val="24"/>
              </w:rPr>
              <w:t>安装位置等施工中的相关费用，报价时应综合考虑，结算时不再调整此类项目。</w:t>
            </w:r>
          </w:p>
          <w:p w14:paraId="5FB5D442">
            <w:pPr>
              <w:keepNext w:val="0"/>
              <w:keepLines w:val="0"/>
              <w:pageBreakBefore w:val="0"/>
              <w:widowControl w:val="0"/>
              <w:kinsoku/>
              <w:wordWrap/>
              <w:overflowPunct/>
              <w:topLinePunct w:val="0"/>
              <w:autoSpaceDE/>
              <w:autoSpaceDN/>
              <w:bidi w:val="0"/>
              <w:snapToGrid w:val="0"/>
              <w:spacing w:line="460" w:lineRule="exact"/>
              <w:ind w:firstLine="480" w:firstLineChars="200"/>
              <w:textAlignment w:val="auto"/>
              <w:rPr>
                <w:rFonts w:hint="eastAsia" w:ascii="宋体" w:hAnsi="宋体" w:cs="Times New Roman"/>
                <w:sz w:val="24"/>
              </w:rPr>
            </w:pPr>
            <w:r>
              <w:rPr>
                <w:rFonts w:hint="eastAsia" w:ascii="宋体" w:hAnsi="宋体"/>
                <w:sz w:val="24"/>
              </w:rPr>
              <w:t>6.</w:t>
            </w:r>
            <w:r>
              <w:rPr>
                <w:rFonts w:hint="eastAsia" w:ascii="宋体" w:hAnsi="宋体"/>
                <w:sz w:val="24"/>
                <w:lang w:eastAsia="zh-CN"/>
              </w:rPr>
              <w:t>本工程单体</w:t>
            </w:r>
            <w:r>
              <w:rPr>
                <w:rFonts w:hint="eastAsia" w:ascii="宋体" w:hAnsi="宋体"/>
                <w:sz w:val="24"/>
              </w:rPr>
              <w:t>调试、系统调试及联动调试费用，应依据施工规范及技术要求进行报价。有清单子目的单独报价，没有单列清单项目的应综合考虑在</w:t>
            </w:r>
            <w:r>
              <w:rPr>
                <w:rFonts w:hint="eastAsia" w:ascii="宋体" w:hAnsi="宋体" w:cs="Times New Roman"/>
                <w:sz w:val="24"/>
              </w:rPr>
              <w:t>相应的清单报价中，结算时不再增加此类费用。</w:t>
            </w:r>
          </w:p>
          <w:p w14:paraId="1A57276D">
            <w:pPr>
              <w:keepNext w:val="0"/>
              <w:keepLines w:val="0"/>
              <w:pageBreakBefore w:val="0"/>
              <w:widowControl w:val="0"/>
              <w:kinsoku/>
              <w:wordWrap/>
              <w:overflowPunct/>
              <w:topLinePunct w:val="0"/>
              <w:autoSpaceDE/>
              <w:autoSpaceDN/>
              <w:bidi w:val="0"/>
              <w:snapToGrid w:val="0"/>
              <w:spacing w:line="460" w:lineRule="exact"/>
              <w:ind w:firstLine="480" w:firstLineChars="200"/>
              <w:textAlignment w:val="auto"/>
              <w:rPr>
                <w:rFonts w:hint="eastAsia" w:ascii="宋体" w:hAnsi="宋体"/>
                <w:sz w:val="24"/>
              </w:rPr>
            </w:pPr>
            <w:r>
              <w:rPr>
                <w:rFonts w:hint="eastAsia" w:ascii="宋体" w:hAnsi="宋体"/>
                <w:sz w:val="24"/>
                <w:lang w:val="en-US" w:eastAsia="zh-CN"/>
              </w:rPr>
              <w:t>7</w:t>
            </w:r>
            <w:r>
              <w:rPr>
                <w:rFonts w:hint="eastAsia" w:ascii="宋体" w:hAnsi="宋体"/>
                <w:sz w:val="24"/>
              </w:rPr>
              <w:t>.报价时应包含竣工验收时的所有材料检验、检测、验收费用及配合消防工程调试等相关费用，结算时不再增加此类费用。</w:t>
            </w:r>
          </w:p>
          <w:p w14:paraId="2A8080DD">
            <w:pPr>
              <w:keepNext w:val="0"/>
              <w:keepLines w:val="0"/>
              <w:pageBreakBefore w:val="0"/>
              <w:widowControl w:val="0"/>
              <w:kinsoku/>
              <w:wordWrap/>
              <w:overflowPunct/>
              <w:topLinePunct w:val="0"/>
              <w:autoSpaceDE/>
              <w:autoSpaceDN/>
              <w:bidi w:val="0"/>
              <w:snapToGrid w:val="0"/>
              <w:spacing w:line="460" w:lineRule="exact"/>
              <w:ind w:firstLine="480" w:firstLineChars="200"/>
              <w:textAlignment w:val="auto"/>
              <w:rPr>
                <w:rFonts w:hint="default" w:eastAsia="宋体"/>
                <w:lang w:val="en-US" w:eastAsia="zh-CN"/>
              </w:rPr>
            </w:pPr>
            <w:r>
              <w:rPr>
                <w:rFonts w:hint="eastAsia" w:ascii="宋体" w:hAnsi="宋体"/>
                <w:sz w:val="24"/>
                <w:lang w:val="en-US" w:eastAsia="zh-CN"/>
              </w:rPr>
              <w:t>8.</w:t>
            </w:r>
            <w:r>
              <w:rPr>
                <w:rFonts w:hint="eastAsia" w:ascii="宋体" w:hAnsi="宋体" w:cs="宋体"/>
                <w:sz w:val="24"/>
                <w:szCs w:val="24"/>
                <w:highlight w:val="none"/>
                <w:lang w:val="en-US" w:eastAsia="zh-CN"/>
              </w:rPr>
              <w:t>配电室改造应满足电业系统</w:t>
            </w:r>
            <w:bookmarkStart w:id="0" w:name="_GoBack"/>
            <w:bookmarkEnd w:id="0"/>
            <w:r>
              <w:rPr>
                <w:rFonts w:hint="eastAsia" w:ascii="宋体" w:hAnsi="宋体" w:cs="宋体"/>
                <w:sz w:val="24"/>
                <w:szCs w:val="24"/>
                <w:highlight w:val="none"/>
                <w:lang w:val="en-US" w:eastAsia="zh-CN"/>
              </w:rPr>
              <w:t>验收要求。</w:t>
            </w:r>
          </w:p>
          <w:p w14:paraId="2EE0B9C8">
            <w:pPr>
              <w:keepNext w:val="0"/>
              <w:keepLines w:val="0"/>
              <w:pageBreakBefore w:val="0"/>
              <w:widowControl w:val="0"/>
              <w:kinsoku/>
              <w:wordWrap/>
              <w:overflowPunct/>
              <w:topLinePunct w:val="0"/>
              <w:autoSpaceDE/>
              <w:autoSpaceDN/>
              <w:bidi w:val="0"/>
              <w:spacing w:line="460" w:lineRule="exact"/>
              <w:ind w:firstLine="560" w:firstLineChars="200"/>
              <w:textAlignment w:val="auto"/>
              <w:rPr>
                <w:rFonts w:ascii="宋体" w:hAnsi="宋体" w:cs="宋体"/>
                <w:sz w:val="28"/>
                <w:szCs w:val="28"/>
              </w:rPr>
            </w:pPr>
          </w:p>
        </w:tc>
      </w:tr>
    </w:tbl>
    <w:p w14:paraId="766C2B03">
      <w:pPr>
        <w:spacing w:line="240" w:lineRule="auto"/>
        <w:jc w:val="left"/>
      </w:pPr>
    </w:p>
    <w:sectPr>
      <w:headerReference r:id="rId3" w:type="default"/>
      <w:pgSz w:w="11906" w:h="16838"/>
      <w:pgMar w:top="1043" w:right="1134" w:bottom="1100" w:left="1247"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moder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4297AD">
    <w:pPr>
      <w:jc w:val="center"/>
      <w:rPr>
        <w:rFonts w:ascii="宋体" w:hAnsi="宋体"/>
        <w:b/>
        <w:sz w:val="44"/>
        <w:szCs w:val="44"/>
      </w:rPr>
    </w:pPr>
    <w:r>
      <w:rPr>
        <w:rFonts w:hint="eastAsia" w:ascii="宋体" w:hAnsi="宋体"/>
        <w:b/>
        <w:sz w:val="44"/>
        <w:szCs w:val="44"/>
      </w:rPr>
      <w:t>总  说  明</w:t>
    </w:r>
  </w:p>
  <w:p w14:paraId="5832E747">
    <w:pPr>
      <w:ind w:left="2200" w:hanging="2200" w:hangingChars="500"/>
      <w:rPr>
        <w:rFonts w:hint="eastAsia" w:eastAsia="宋体"/>
        <w:lang w:eastAsia="zh-CN"/>
      </w:rPr>
    </w:pPr>
    <w:r>
      <w:rPr>
        <w:sz w:val="44"/>
      </w:rPr>
      <mc:AlternateContent>
        <mc:Choice Requires="wps">
          <w:drawing>
            <wp:anchor distT="0" distB="0" distL="114300" distR="114300" simplePos="0" relativeHeight="251659264" behindDoc="0" locked="0" layoutInCell="1" allowOverlap="1">
              <wp:simplePos x="0" y="0"/>
              <wp:positionH relativeFrom="margin">
                <wp:posOffset>5216525</wp:posOffset>
              </wp:positionH>
              <wp:positionV relativeFrom="paragraph">
                <wp:posOffset>25400</wp:posOffset>
              </wp:positionV>
              <wp:extent cx="963295" cy="167005"/>
              <wp:effectExtent l="0" t="0" r="0" b="0"/>
              <wp:wrapNone/>
              <wp:docPr id="1" name="文本框 3"/>
              <wp:cNvGraphicFramePr/>
              <a:graphic xmlns:a="http://schemas.openxmlformats.org/drawingml/2006/main">
                <a:graphicData uri="http://schemas.microsoft.com/office/word/2010/wordprocessingShape">
                  <wps:wsp>
                    <wps:cNvSpPr txBox="1"/>
                    <wps:spPr>
                      <a:xfrm>
                        <a:off x="0" y="0"/>
                        <a:ext cx="963295" cy="167005"/>
                      </a:xfrm>
                      <a:prstGeom prst="rect">
                        <a:avLst/>
                      </a:prstGeom>
                      <a:noFill/>
                      <a:ln w="9525">
                        <a:noFill/>
                      </a:ln>
                      <a:effectLst/>
                    </wps:spPr>
                    <wps:txbx>
                      <w:txbxContent>
                        <w:p w14:paraId="227A3DDF">
                          <w:pPr>
                            <w:pStyle w:val="5"/>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r>
                            <w:rPr>
                              <w:rFonts w:hint="eastAsia"/>
                            </w:rPr>
                            <w:t xml:space="preserve"> 页 共 </w:t>
                          </w:r>
                          <w:r>
                            <w:fldChar w:fldCharType="begin"/>
                          </w:r>
                          <w:r>
                            <w:instrText xml:space="preserve"> NUMPAGES  \* MERGEFORMAT </w:instrText>
                          </w:r>
                          <w:r>
                            <w:fldChar w:fldCharType="separate"/>
                          </w:r>
                          <w:r>
                            <w:t>6</w:t>
                          </w:r>
                          <w:r>
                            <w:fldChar w:fldCharType="end"/>
                          </w:r>
                          <w:r>
                            <w:rPr>
                              <w:rFonts w:hint="eastAsia"/>
                            </w:rPr>
                            <w:t xml:space="preserve"> 页</w:t>
                          </w:r>
                        </w:p>
                      </w:txbxContent>
                    </wps:txbx>
                    <wps:bodyPr wrap="square" lIns="0" tIns="0" rIns="0" bIns="0" upright="1">
                      <a:noAutofit/>
                    </wps:bodyPr>
                  </wps:wsp>
                </a:graphicData>
              </a:graphic>
            </wp:anchor>
          </w:drawing>
        </mc:Choice>
        <mc:Fallback>
          <w:pict>
            <v:shape id="文本框 3" o:spid="_x0000_s1026" o:spt="202" type="#_x0000_t202" style="position:absolute;left:0pt;margin-left:410.75pt;margin-top:2pt;height:13.15pt;width:75.85pt;mso-position-horizontal-relative:margin;z-index:251659264;mso-width-relative:page;mso-height-relative:page;" filled="f" stroked="f" coordsize="21600,21600" o:gfxdata="UEsDBAoAAAAAAIdO4kAAAAAAAAAAAAAAAAAEAAAAZHJzL1BLAwQUAAAACACHTuJAEOIps9gAAAAI&#10;AQAADwAAAGRycy9kb3ducmV2LnhtbE2PzU7DMBCE70i8g7VI3KidBEob4lQIwQkJkYYDRyfeJlHj&#10;dYjdH96e5QTH0Yxmvik2ZzeKI85h8KQhWSgQSK23A3UaPuqXmxWIEA1ZM3pCDd8YYFNeXhQmt/5E&#10;FR63sRNcQiE3GvoYp1zK0PboTFj4CYm9nZ+diSznTtrZnLjcjTJVaimdGYgXejPhU4/tfntwGh4/&#10;qXoevt6a92pXDXW9VvS63Gt9fZWoBxARz/EvDL/4jA4lMzX+QDaIUcMqTe44quGWL7G/vs9SEI2G&#10;TGUgy0L+P1D+AFBLAwQUAAAACACHTuJAi5lZR9wBAACwAwAADgAAAGRycy9lMm9Eb2MueG1srVNN&#10;jtMwFN4jcQfLe5q0oxYmajoCVYOQECANHMB17MaS/3h2mvQCcANWbNhzrp6DZyftoJnNLGbjvD9/&#10;732fX9Y3g9HkICAoZ2s6n5WUCMtdo+y+pt++3r56Q0mIzDZMOytqehSB3mxevlj3vhIL1zrdCCAI&#10;YkPV+5q2MfqqKAJvhWFh5rywmJQODIvowr5ogPWIbnSxKMtV0TtoPDguQsDodkzSCRGeAuikVFxs&#10;He+MsHFEBaFZREqhVT7QTZ5WSsHjZymDiETXFJnGfGITtHfpLDZrVu2B+VbxaQT2lBEecDJMWWx6&#10;gdqyyEgH6hGUURxccDLOuDPFSCQrgizm5QNt7lrmReaCUgd/ET08Hyz/dPgCRDW4CZRYZvDBT79+&#10;nn7/Pf35Qa6SPL0PFVbdeayLwzs3pNIpHjCYWA8STPoiH4J5FPd4EVcMkXAMXq+uFtdLSjim5qvX&#10;ZblMKMX9ZQ8hvhfOkGTUFPDtsqTs8DHEsfRcknpZd6u0xjirtCU9NlgulvnCJYPg2qYCkTdhgkmE&#10;xsGTFYfdMLHZueaIJHvchpqG7x0DQYn+YFHutDpnA87G7mx0HtS+xZnnU/+3XXRS5aFTjxEYySYH&#10;HzLTnpYubcr/fq66/9E2/wB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AQ4imz2AAAAAgBAAAPAAAA&#10;AAAAAAEAIAAAACIAAABkcnMvZG93bnJldi54bWxQSwECFAAUAAAACACHTuJAi5lZR9wBAACwAwAA&#10;DgAAAAAAAAABACAAAAAnAQAAZHJzL2Uyb0RvYy54bWxQSwUGAAAAAAYABgBZAQAAdQUAAAAA&#10;">
              <v:fill on="f" focussize="0,0"/>
              <v:stroke on="f"/>
              <v:imagedata o:title=""/>
              <o:lock v:ext="edit" aspectratio="f"/>
              <v:textbox inset="0mm,0mm,0mm,0mm">
                <w:txbxContent>
                  <w:p w14:paraId="227A3DDF">
                    <w:pPr>
                      <w:pStyle w:val="5"/>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r>
                      <w:rPr>
                        <w:rFonts w:hint="eastAsia"/>
                      </w:rPr>
                      <w:t xml:space="preserve"> 页 共 </w:t>
                    </w:r>
                    <w:r>
                      <w:fldChar w:fldCharType="begin"/>
                    </w:r>
                    <w:r>
                      <w:instrText xml:space="preserve"> NUMPAGES  \* MERGEFORMAT </w:instrText>
                    </w:r>
                    <w:r>
                      <w:fldChar w:fldCharType="separate"/>
                    </w:r>
                    <w:r>
                      <w:t>6</w:t>
                    </w:r>
                    <w:r>
                      <w:fldChar w:fldCharType="end"/>
                    </w:r>
                    <w:r>
                      <w:rPr>
                        <w:rFonts w:hint="eastAsia"/>
                      </w:rPr>
                      <w:t xml:space="preserve"> 页</w:t>
                    </w:r>
                  </w:p>
                </w:txbxContent>
              </v:textbox>
            </v:shape>
          </w:pict>
        </mc:Fallback>
      </mc:AlternateContent>
    </w:r>
    <w:r>
      <w:rPr>
        <w:rFonts w:hint="eastAsia" w:ascii="宋体" w:hAnsi="宋体"/>
        <w:sz w:val="24"/>
      </w:rPr>
      <w:t>工程名称：水务集团配电室改造</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c4YjkyM2RjNjVmM2Q0OTgwMGJjNjQ3ZWY5NTIwMDAifQ=="/>
  </w:docVars>
  <w:rsids>
    <w:rsidRoot w:val="4F336E3C"/>
    <w:rsid w:val="00027BFA"/>
    <w:rsid w:val="00094ABF"/>
    <w:rsid w:val="000A54A2"/>
    <w:rsid w:val="000A6FE5"/>
    <w:rsid w:val="000B19D8"/>
    <w:rsid w:val="000B558B"/>
    <w:rsid w:val="000E6311"/>
    <w:rsid w:val="0011264E"/>
    <w:rsid w:val="00141099"/>
    <w:rsid w:val="0014356A"/>
    <w:rsid w:val="00152DBA"/>
    <w:rsid w:val="0015565E"/>
    <w:rsid w:val="00181D01"/>
    <w:rsid w:val="00187E5A"/>
    <w:rsid w:val="00190DB9"/>
    <w:rsid w:val="00194033"/>
    <w:rsid w:val="001C430B"/>
    <w:rsid w:val="001C6997"/>
    <w:rsid w:val="001E4AE9"/>
    <w:rsid w:val="001E5B00"/>
    <w:rsid w:val="001F2AE4"/>
    <w:rsid w:val="002016E5"/>
    <w:rsid w:val="00222A90"/>
    <w:rsid w:val="0023350E"/>
    <w:rsid w:val="00237EAB"/>
    <w:rsid w:val="00261364"/>
    <w:rsid w:val="002A38F0"/>
    <w:rsid w:val="002D06B3"/>
    <w:rsid w:val="002E2699"/>
    <w:rsid w:val="002F67F5"/>
    <w:rsid w:val="002F6D07"/>
    <w:rsid w:val="00334051"/>
    <w:rsid w:val="00353A9C"/>
    <w:rsid w:val="0035650C"/>
    <w:rsid w:val="0036090D"/>
    <w:rsid w:val="003669DA"/>
    <w:rsid w:val="00367AD5"/>
    <w:rsid w:val="00387425"/>
    <w:rsid w:val="003915C9"/>
    <w:rsid w:val="003B14E9"/>
    <w:rsid w:val="003B7394"/>
    <w:rsid w:val="003C3505"/>
    <w:rsid w:val="003D7C04"/>
    <w:rsid w:val="003F3EBA"/>
    <w:rsid w:val="003F56B9"/>
    <w:rsid w:val="0040145C"/>
    <w:rsid w:val="0040245C"/>
    <w:rsid w:val="00407B4C"/>
    <w:rsid w:val="00412C43"/>
    <w:rsid w:val="00443D21"/>
    <w:rsid w:val="00444F07"/>
    <w:rsid w:val="00475759"/>
    <w:rsid w:val="00480B26"/>
    <w:rsid w:val="004B786F"/>
    <w:rsid w:val="004C151D"/>
    <w:rsid w:val="004D2EC0"/>
    <w:rsid w:val="004E0D5A"/>
    <w:rsid w:val="004F11AE"/>
    <w:rsid w:val="004F1735"/>
    <w:rsid w:val="00511520"/>
    <w:rsid w:val="00524A32"/>
    <w:rsid w:val="00530E44"/>
    <w:rsid w:val="00533CE4"/>
    <w:rsid w:val="00541773"/>
    <w:rsid w:val="0054434A"/>
    <w:rsid w:val="00560AFC"/>
    <w:rsid w:val="00580514"/>
    <w:rsid w:val="00590242"/>
    <w:rsid w:val="005D147E"/>
    <w:rsid w:val="006029A2"/>
    <w:rsid w:val="006029D8"/>
    <w:rsid w:val="00615DFC"/>
    <w:rsid w:val="006543A8"/>
    <w:rsid w:val="00664EE8"/>
    <w:rsid w:val="0069074E"/>
    <w:rsid w:val="006A303B"/>
    <w:rsid w:val="006A3E03"/>
    <w:rsid w:val="006A672B"/>
    <w:rsid w:val="006A72C7"/>
    <w:rsid w:val="006C3623"/>
    <w:rsid w:val="006D68BC"/>
    <w:rsid w:val="006F3462"/>
    <w:rsid w:val="006F7C81"/>
    <w:rsid w:val="007016F6"/>
    <w:rsid w:val="00772367"/>
    <w:rsid w:val="007A21D9"/>
    <w:rsid w:val="0080289B"/>
    <w:rsid w:val="00805854"/>
    <w:rsid w:val="0086544B"/>
    <w:rsid w:val="00883EAB"/>
    <w:rsid w:val="00891D72"/>
    <w:rsid w:val="00895DE6"/>
    <w:rsid w:val="008966A0"/>
    <w:rsid w:val="008A2305"/>
    <w:rsid w:val="008A5BB5"/>
    <w:rsid w:val="008B30A9"/>
    <w:rsid w:val="008D6922"/>
    <w:rsid w:val="008F4F6A"/>
    <w:rsid w:val="009047CE"/>
    <w:rsid w:val="009112A2"/>
    <w:rsid w:val="0093015E"/>
    <w:rsid w:val="00937210"/>
    <w:rsid w:val="00942308"/>
    <w:rsid w:val="00944A5D"/>
    <w:rsid w:val="009510BC"/>
    <w:rsid w:val="009533A7"/>
    <w:rsid w:val="00956477"/>
    <w:rsid w:val="009643A5"/>
    <w:rsid w:val="009733D0"/>
    <w:rsid w:val="00981A6D"/>
    <w:rsid w:val="00986A3C"/>
    <w:rsid w:val="009B289E"/>
    <w:rsid w:val="009C1FF1"/>
    <w:rsid w:val="009D325D"/>
    <w:rsid w:val="009F025E"/>
    <w:rsid w:val="00A0747F"/>
    <w:rsid w:val="00A07683"/>
    <w:rsid w:val="00A250C0"/>
    <w:rsid w:val="00A369DB"/>
    <w:rsid w:val="00A53EF2"/>
    <w:rsid w:val="00A56190"/>
    <w:rsid w:val="00A741D8"/>
    <w:rsid w:val="00A76E3F"/>
    <w:rsid w:val="00A84285"/>
    <w:rsid w:val="00A93F99"/>
    <w:rsid w:val="00AC296F"/>
    <w:rsid w:val="00AC6963"/>
    <w:rsid w:val="00AD25F1"/>
    <w:rsid w:val="00AE4E67"/>
    <w:rsid w:val="00AF1398"/>
    <w:rsid w:val="00B22A05"/>
    <w:rsid w:val="00B2578B"/>
    <w:rsid w:val="00B735ED"/>
    <w:rsid w:val="00B804BF"/>
    <w:rsid w:val="00BA45AD"/>
    <w:rsid w:val="00BA59A5"/>
    <w:rsid w:val="00BF69AE"/>
    <w:rsid w:val="00C001C4"/>
    <w:rsid w:val="00C03310"/>
    <w:rsid w:val="00C17395"/>
    <w:rsid w:val="00C303F6"/>
    <w:rsid w:val="00C322FC"/>
    <w:rsid w:val="00C33B44"/>
    <w:rsid w:val="00C70B2F"/>
    <w:rsid w:val="00C95791"/>
    <w:rsid w:val="00CC11AD"/>
    <w:rsid w:val="00CC617B"/>
    <w:rsid w:val="00CD2E93"/>
    <w:rsid w:val="00CD688C"/>
    <w:rsid w:val="00CE5AA1"/>
    <w:rsid w:val="00CF311F"/>
    <w:rsid w:val="00D554DA"/>
    <w:rsid w:val="00D720B4"/>
    <w:rsid w:val="00D878A5"/>
    <w:rsid w:val="00D921E8"/>
    <w:rsid w:val="00DC0781"/>
    <w:rsid w:val="00DC5CAF"/>
    <w:rsid w:val="00DC6374"/>
    <w:rsid w:val="00DE0071"/>
    <w:rsid w:val="00DE11C9"/>
    <w:rsid w:val="00DE6AE5"/>
    <w:rsid w:val="00E0452B"/>
    <w:rsid w:val="00E33726"/>
    <w:rsid w:val="00E42BF2"/>
    <w:rsid w:val="00E43C84"/>
    <w:rsid w:val="00E654D2"/>
    <w:rsid w:val="00E7253E"/>
    <w:rsid w:val="00E97C82"/>
    <w:rsid w:val="00EA3980"/>
    <w:rsid w:val="00EA53C1"/>
    <w:rsid w:val="00ED4C4D"/>
    <w:rsid w:val="00EE0B12"/>
    <w:rsid w:val="00F05A71"/>
    <w:rsid w:val="00F136C2"/>
    <w:rsid w:val="00F13ED6"/>
    <w:rsid w:val="00F24A80"/>
    <w:rsid w:val="00F253C9"/>
    <w:rsid w:val="00F37DEA"/>
    <w:rsid w:val="00F657DC"/>
    <w:rsid w:val="00F735A5"/>
    <w:rsid w:val="00F95485"/>
    <w:rsid w:val="00F975DA"/>
    <w:rsid w:val="00FC61B3"/>
    <w:rsid w:val="00FE4EF6"/>
    <w:rsid w:val="00FE5271"/>
    <w:rsid w:val="01165D26"/>
    <w:rsid w:val="013F509B"/>
    <w:rsid w:val="014A6AE4"/>
    <w:rsid w:val="01520B08"/>
    <w:rsid w:val="01A66B90"/>
    <w:rsid w:val="01DB7ED5"/>
    <w:rsid w:val="02664B5D"/>
    <w:rsid w:val="02AE0D8F"/>
    <w:rsid w:val="03070B87"/>
    <w:rsid w:val="03235901"/>
    <w:rsid w:val="03470A66"/>
    <w:rsid w:val="03514599"/>
    <w:rsid w:val="03625FBA"/>
    <w:rsid w:val="039E4008"/>
    <w:rsid w:val="03AE0D1C"/>
    <w:rsid w:val="03FA10A6"/>
    <w:rsid w:val="043B5984"/>
    <w:rsid w:val="04670727"/>
    <w:rsid w:val="047D2CCC"/>
    <w:rsid w:val="049D1E28"/>
    <w:rsid w:val="04A557F4"/>
    <w:rsid w:val="04BD29A3"/>
    <w:rsid w:val="04E23620"/>
    <w:rsid w:val="04EA1B9E"/>
    <w:rsid w:val="053733FD"/>
    <w:rsid w:val="056621AB"/>
    <w:rsid w:val="05712C97"/>
    <w:rsid w:val="061752E9"/>
    <w:rsid w:val="062F41D5"/>
    <w:rsid w:val="06A839B7"/>
    <w:rsid w:val="06DF63DC"/>
    <w:rsid w:val="06EC6E8D"/>
    <w:rsid w:val="07030DD2"/>
    <w:rsid w:val="072616CC"/>
    <w:rsid w:val="07390969"/>
    <w:rsid w:val="07B52CB4"/>
    <w:rsid w:val="07BA51E4"/>
    <w:rsid w:val="07DC0D92"/>
    <w:rsid w:val="07FB4238"/>
    <w:rsid w:val="08126C09"/>
    <w:rsid w:val="08162C7E"/>
    <w:rsid w:val="0833785E"/>
    <w:rsid w:val="085F059B"/>
    <w:rsid w:val="08611EA6"/>
    <w:rsid w:val="086A71DD"/>
    <w:rsid w:val="088B691A"/>
    <w:rsid w:val="092D578C"/>
    <w:rsid w:val="094F489A"/>
    <w:rsid w:val="098614EC"/>
    <w:rsid w:val="0990731B"/>
    <w:rsid w:val="09A709D1"/>
    <w:rsid w:val="09C15C02"/>
    <w:rsid w:val="09E758D8"/>
    <w:rsid w:val="09EE0207"/>
    <w:rsid w:val="0A184539"/>
    <w:rsid w:val="0A262D6D"/>
    <w:rsid w:val="0A3403BE"/>
    <w:rsid w:val="0A7C782E"/>
    <w:rsid w:val="0A8B2416"/>
    <w:rsid w:val="0A957F7B"/>
    <w:rsid w:val="0AB84E97"/>
    <w:rsid w:val="0B45687B"/>
    <w:rsid w:val="0B4C288C"/>
    <w:rsid w:val="0B705C84"/>
    <w:rsid w:val="0BBC29AD"/>
    <w:rsid w:val="0BDA1FC5"/>
    <w:rsid w:val="0BDE71B0"/>
    <w:rsid w:val="0BDE7929"/>
    <w:rsid w:val="0BF33C73"/>
    <w:rsid w:val="0C0E7E79"/>
    <w:rsid w:val="0C785A50"/>
    <w:rsid w:val="0C860598"/>
    <w:rsid w:val="0CDD0B35"/>
    <w:rsid w:val="0D001985"/>
    <w:rsid w:val="0D264FB8"/>
    <w:rsid w:val="0D2D7E24"/>
    <w:rsid w:val="0DA23814"/>
    <w:rsid w:val="0DE53147"/>
    <w:rsid w:val="0E1179AC"/>
    <w:rsid w:val="0E2F78AF"/>
    <w:rsid w:val="0E343608"/>
    <w:rsid w:val="0E636391"/>
    <w:rsid w:val="0E7D0045"/>
    <w:rsid w:val="0E7D6CF8"/>
    <w:rsid w:val="0ECD7B9B"/>
    <w:rsid w:val="0F224D4B"/>
    <w:rsid w:val="0F3871AE"/>
    <w:rsid w:val="0F4F48CE"/>
    <w:rsid w:val="0F5C6675"/>
    <w:rsid w:val="0F602DAA"/>
    <w:rsid w:val="0FC429DC"/>
    <w:rsid w:val="0FC5213C"/>
    <w:rsid w:val="100B338C"/>
    <w:rsid w:val="10302EB4"/>
    <w:rsid w:val="10477D1A"/>
    <w:rsid w:val="10741386"/>
    <w:rsid w:val="10B55B26"/>
    <w:rsid w:val="10D240CA"/>
    <w:rsid w:val="10EB1D11"/>
    <w:rsid w:val="113B78FB"/>
    <w:rsid w:val="1167172A"/>
    <w:rsid w:val="116F1EF0"/>
    <w:rsid w:val="11706FC5"/>
    <w:rsid w:val="11EB76E5"/>
    <w:rsid w:val="121F4D90"/>
    <w:rsid w:val="122D09D6"/>
    <w:rsid w:val="1231245E"/>
    <w:rsid w:val="124A1166"/>
    <w:rsid w:val="12526363"/>
    <w:rsid w:val="125943D2"/>
    <w:rsid w:val="125C6211"/>
    <w:rsid w:val="135648E5"/>
    <w:rsid w:val="137F23C2"/>
    <w:rsid w:val="1398312C"/>
    <w:rsid w:val="13AC024E"/>
    <w:rsid w:val="13C16B85"/>
    <w:rsid w:val="13D854CF"/>
    <w:rsid w:val="14091310"/>
    <w:rsid w:val="14423DE3"/>
    <w:rsid w:val="144D027A"/>
    <w:rsid w:val="14B952BF"/>
    <w:rsid w:val="14E27EA8"/>
    <w:rsid w:val="152836C1"/>
    <w:rsid w:val="153D7F1F"/>
    <w:rsid w:val="15532EB7"/>
    <w:rsid w:val="156D5B23"/>
    <w:rsid w:val="15B1032B"/>
    <w:rsid w:val="15FF3A53"/>
    <w:rsid w:val="1640267B"/>
    <w:rsid w:val="16590FA7"/>
    <w:rsid w:val="166F4FD4"/>
    <w:rsid w:val="16A93834"/>
    <w:rsid w:val="17035E6F"/>
    <w:rsid w:val="174D7B9F"/>
    <w:rsid w:val="177464F2"/>
    <w:rsid w:val="17AB3457"/>
    <w:rsid w:val="17C30514"/>
    <w:rsid w:val="17D43780"/>
    <w:rsid w:val="17DE2DEA"/>
    <w:rsid w:val="18071B4C"/>
    <w:rsid w:val="1839223B"/>
    <w:rsid w:val="184501E3"/>
    <w:rsid w:val="185F158E"/>
    <w:rsid w:val="18713CBF"/>
    <w:rsid w:val="18887969"/>
    <w:rsid w:val="18B91CF0"/>
    <w:rsid w:val="18D272C1"/>
    <w:rsid w:val="18D52EBD"/>
    <w:rsid w:val="18E32D1F"/>
    <w:rsid w:val="19E5756F"/>
    <w:rsid w:val="19E71034"/>
    <w:rsid w:val="19FC2AD9"/>
    <w:rsid w:val="1A357594"/>
    <w:rsid w:val="1AAA406A"/>
    <w:rsid w:val="1AB460A5"/>
    <w:rsid w:val="1ACC6D76"/>
    <w:rsid w:val="1AE80089"/>
    <w:rsid w:val="1B133761"/>
    <w:rsid w:val="1B4F231A"/>
    <w:rsid w:val="1B5B7A3D"/>
    <w:rsid w:val="1B5E16E6"/>
    <w:rsid w:val="1B7B21C3"/>
    <w:rsid w:val="1B83474F"/>
    <w:rsid w:val="1B8D411E"/>
    <w:rsid w:val="1BA37088"/>
    <w:rsid w:val="1BBA7C08"/>
    <w:rsid w:val="1C5E3887"/>
    <w:rsid w:val="1C692F88"/>
    <w:rsid w:val="1C6D7A7A"/>
    <w:rsid w:val="1CAE4512"/>
    <w:rsid w:val="1CDF1C2E"/>
    <w:rsid w:val="1D20572E"/>
    <w:rsid w:val="1D240302"/>
    <w:rsid w:val="1D381874"/>
    <w:rsid w:val="1DCD5DBE"/>
    <w:rsid w:val="1E09262E"/>
    <w:rsid w:val="1E130D48"/>
    <w:rsid w:val="1E254DD5"/>
    <w:rsid w:val="1EAE0919"/>
    <w:rsid w:val="1EC04BA4"/>
    <w:rsid w:val="1EDD50C5"/>
    <w:rsid w:val="1F097BB0"/>
    <w:rsid w:val="1F0E3776"/>
    <w:rsid w:val="1F7E1038"/>
    <w:rsid w:val="1F997315"/>
    <w:rsid w:val="1FD0233B"/>
    <w:rsid w:val="1FF4119A"/>
    <w:rsid w:val="20534DBB"/>
    <w:rsid w:val="20C57765"/>
    <w:rsid w:val="21362230"/>
    <w:rsid w:val="21461C37"/>
    <w:rsid w:val="21524ED3"/>
    <w:rsid w:val="2153266F"/>
    <w:rsid w:val="216210F4"/>
    <w:rsid w:val="21623520"/>
    <w:rsid w:val="216A7612"/>
    <w:rsid w:val="21755FB2"/>
    <w:rsid w:val="21A01CBB"/>
    <w:rsid w:val="21EA6550"/>
    <w:rsid w:val="224D747B"/>
    <w:rsid w:val="225504C3"/>
    <w:rsid w:val="2258292C"/>
    <w:rsid w:val="227759B5"/>
    <w:rsid w:val="228A08FD"/>
    <w:rsid w:val="22964C58"/>
    <w:rsid w:val="229E630E"/>
    <w:rsid w:val="22CB791F"/>
    <w:rsid w:val="234D2803"/>
    <w:rsid w:val="236C4C74"/>
    <w:rsid w:val="23B85F4A"/>
    <w:rsid w:val="23C27F4D"/>
    <w:rsid w:val="241111A1"/>
    <w:rsid w:val="24515B58"/>
    <w:rsid w:val="24B61744"/>
    <w:rsid w:val="24CA7739"/>
    <w:rsid w:val="24E40053"/>
    <w:rsid w:val="25261673"/>
    <w:rsid w:val="253A3610"/>
    <w:rsid w:val="253F77A6"/>
    <w:rsid w:val="25B5416D"/>
    <w:rsid w:val="25F02265"/>
    <w:rsid w:val="260C15B6"/>
    <w:rsid w:val="264A51F6"/>
    <w:rsid w:val="268D2477"/>
    <w:rsid w:val="26E83F6D"/>
    <w:rsid w:val="275E5D0F"/>
    <w:rsid w:val="27BF5359"/>
    <w:rsid w:val="27D01BFF"/>
    <w:rsid w:val="28594A28"/>
    <w:rsid w:val="28925FBC"/>
    <w:rsid w:val="28952514"/>
    <w:rsid w:val="28C31515"/>
    <w:rsid w:val="29151B5B"/>
    <w:rsid w:val="293D2A84"/>
    <w:rsid w:val="29405AB2"/>
    <w:rsid w:val="29407B84"/>
    <w:rsid w:val="29A064E8"/>
    <w:rsid w:val="29A924E3"/>
    <w:rsid w:val="29C62DD3"/>
    <w:rsid w:val="29EE7652"/>
    <w:rsid w:val="2A0612AA"/>
    <w:rsid w:val="2A100B24"/>
    <w:rsid w:val="2A3004CC"/>
    <w:rsid w:val="2A4121AA"/>
    <w:rsid w:val="2A507EA2"/>
    <w:rsid w:val="2A510138"/>
    <w:rsid w:val="2A5A011A"/>
    <w:rsid w:val="2A763EAF"/>
    <w:rsid w:val="2AB01CBF"/>
    <w:rsid w:val="2ABA5365"/>
    <w:rsid w:val="2ABE78F8"/>
    <w:rsid w:val="2B1745A6"/>
    <w:rsid w:val="2B87706E"/>
    <w:rsid w:val="2BE70756"/>
    <w:rsid w:val="2BF65788"/>
    <w:rsid w:val="2C12611D"/>
    <w:rsid w:val="2C302D8F"/>
    <w:rsid w:val="2CB14883"/>
    <w:rsid w:val="2CE571FA"/>
    <w:rsid w:val="2CF21157"/>
    <w:rsid w:val="2CF35CBA"/>
    <w:rsid w:val="2D795138"/>
    <w:rsid w:val="2DB4786B"/>
    <w:rsid w:val="2E127560"/>
    <w:rsid w:val="2E751113"/>
    <w:rsid w:val="2EB021A6"/>
    <w:rsid w:val="2ED97A85"/>
    <w:rsid w:val="2F2013F9"/>
    <w:rsid w:val="2F3E2FB3"/>
    <w:rsid w:val="2F471420"/>
    <w:rsid w:val="2F4B493D"/>
    <w:rsid w:val="2F5E6388"/>
    <w:rsid w:val="2F7F74D1"/>
    <w:rsid w:val="2F960DA8"/>
    <w:rsid w:val="2F9677DA"/>
    <w:rsid w:val="2FD6556D"/>
    <w:rsid w:val="2FE67878"/>
    <w:rsid w:val="2FF43C43"/>
    <w:rsid w:val="30301380"/>
    <w:rsid w:val="303E14AB"/>
    <w:rsid w:val="305478ED"/>
    <w:rsid w:val="307B0A10"/>
    <w:rsid w:val="307F02F3"/>
    <w:rsid w:val="30887536"/>
    <w:rsid w:val="30912DC1"/>
    <w:rsid w:val="309471A9"/>
    <w:rsid w:val="30CB6DD6"/>
    <w:rsid w:val="31416E57"/>
    <w:rsid w:val="3190324B"/>
    <w:rsid w:val="31E55B9F"/>
    <w:rsid w:val="320E4C6B"/>
    <w:rsid w:val="32232993"/>
    <w:rsid w:val="32464464"/>
    <w:rsid w:val="327A29B8"/>
    <w:rsid w:val="327A795F"/>
    <w:rsid w:val="329437E6"/>
    <w:rsid w:val="329A2708"/>
    <w:rsid w:val="32A00762"/>
    <w:rsid w:val="32A97926"/>
    <w:rsid w:val="3339620F"/>
    <w:rsid w:val="338B0B00"/>
    <w:rsid w:val="33C46DDA"/>
    <w:rsid w:val="34256CE3"/>
    <w:rsid w:val="3495423E"/>
    <w:rsid w:val="34AC4957"/>
    <w:rsid w:val="35420A98"/>
    <w:rsid w:val="354B32C9"/>
    <w:rsid w:val="355C033E"/>
    <w:rsid w:val="357C3122"/>
    <w:rsid w:val="35816985"/>
    <w:rsid w:val="358A541D"/>
    <w:rsid w:val="35952602"/>
    <w:rsid w:val="359B086D"/>
    <w:rsid w:val="35AE6170"/>
    <w:rsid w:val="35CE1971"/>
    <w:rsid w:val="35D17ECC"/>
    <w:rsid w:val="35E42620"/>
    <w:rsid w:val="35ED32FF"/>
    <w:rsid w:val="362848B8"/>
    <w:rsid w:val="362D2FFE"/>
    <w:rsid w:val="36C055B8"/>
    <w:rsid w:val="36C87429"/>
    <w:rsid w:val="36FF219F"/>
    <w:rsid w:val="37056723"/>
    <w:rsid w:val="370C22E3"/>
    <w:rsid w:val="37133783"/>
    <w:rsid w:val="378C2740"/>
    <w:rsid w:val="37A839F0"/>
    <w:rsid w:val="37BA5DFD"/>
    <w:rsid w:val="37E148D1"/>
    <w:rsid w:val="37F83717"/>
    <w:rsid w:val="380D37B8"/>
    <w:rsid w:val="38293DC6"/>
    <w:rsid w:val="384A0603"/>
    <w:rsid w:val="385C2479"/>
    <w:rsid w:val="38C00B76"/>
    <w:rsid w:val="39147A73"/>
    <w:rsid w:val="39171404"/>
    <w:rsid w:val="399E1B89"/>
    <w:rsid w:val="39B05532"/>
    <w:rsid w:val="39CB52D2"/>
    <w:rsid w:val="39CC496A"/>
    <w:rsid w:val="3A342C2A"/>
    <w:rsid w:val="3A784CBD"/>
    <w:rsid w:val="3ABA6C94"/>
    <w:rsid w:val="3B2B4908"/>
    <w:rsid w:val="3B3E03A8"/>
    <w:rsid w:val="3B3F6BCF"/>
    <w:rsid w:val="3B436CFE"/>
    <w:rsid w:val="3BAA4281"/>
    <w:rsid w:val="3BEE482F"/>
    <w:rsid w:val="3C1A6E02"/>
    <w:rsid w:val="3C484462"/>
    <w:rsid w:val="3CB514FE"/>
    <w:rsid w:val="3D452F77"/>
    <w:rsid w:val="3D491322"/>
    <w:rsid w:val="3D8561A7"/>
    <w:rsid w:val="3D8805D8"/>
    <w:rsid w:val="3D911C13"/>
    <w:rsid w:val="3DCA1F9B"/>
    <w:rsid w:val="3DCB0F38"/>
    <w:rsid w:val="3DD27E91"/>
    <w:rsid w:val="3E1C31D9"/>
    <w:rsid w:val="3E500F0D"/>
    <w:rsid w:val="3E67050A"/>
    <w:rsid w:val="3E8D3BAA"/>
    <w:rsid w:val="3EC000E1"/>
    <w:rsid w:val="3F510FF8"/>
    <w:rsid w:val="3F7C1824"/>
    <w:rsid w:val="3F8D2F59"/>
    <w:rsid w:val="3FA56E51"/>
    <w:rsid w:val="401F2ECA"/>
    <w:rsid w:val="403168AD"/>
    <w:rsid w:val="403D5B2C"/>
    <w:rsid w:val="40BA72C4"/>
    <w:rsid w:val="40D67913"/>
    <w:rsid w:val="40F5494A"/>
    <w:rsid w:val="412142FF"/>
    <w:rsid w:val="413F2C76"/>
    <w:rsid w:val="41770CEE"/>
    <w:rsid w:val="41A716D9"/>
    <w:rsid w:val="41F146AB"/>
    <w:rsid w:val="421204AA"/>
    <w:rsid w:val="42500D42"/>
    <w:rsid w:val="427C39CF"/>
    <w:rsid w:val="42BA2C8C"/>
    <w:rsid w:val="42D05144"/>
    <w:rsid w:val="42F07CC8"/>
    <w:rsid w:val="430E1956"/>
    <w:rsid w:val="4414513E"/>
    <w:rsid w:val="441D7912"/>
    <w:rsid w:val="44486BB8"/>
    <w:rsid w:val="445552E9"/>
    <w:rsid w:val="448C05DF"/>
    <w:rsid w:val="449C1C7C"/>
    <w:rsid w:val="44E071C6"/>
    <w:rsid w:val="456045C0"/>
    <w:rsid w:val="456F5912"/>
    <w:rsid w:val="45A25FA2"/>
    <w:rsid w:val="45B81F55"/>
    <w:rsid w:val="45D852AB"/>
    <w:rsid w:val="45DC30F5"/>
    <w:rsid w:val="463604FF"/>
    <w:rsid w:val="464B0F4B"/>
    <w:rsid w:val="46BF534C"/>
    <w:rsid w:val="46C874E8"/>
    <w:rsid w:val="46E748D9"/>
    <w:rsid w:val="46FB6DB7"/>
    <w:rsid w:val="4711008A"/>
    <w:rsid w:val="477E24BD"/>
    <w:rsid w:val="4796575B"/>
    <w:rsid w:val="47D562E1"/>
    <w:rsid w:val="47E36062"/>
    <w:rsid w:val="48AD550D"/>
    <w:rsid w:val="48C55AA6"/>
    <w:rsid w:val="48F574D4"/>
    <w:rsid w:val="4962322A"/>
    <w:rsid w:val="49852828"/>
    <w:rsid w:val="49A403AD"/>
    <w:rsid w:val="49CA3130"/>
    <w:rsid w:val="49CD6BC9"/>
    <w:rsid w:val="49E576E1"/>
    <w:rsid w:val="4A0209FF"/>
    <w:rsid w:val="4A0D4676"/>
    <w:rsid w:val="4A585140"/>
    <w:rsid w:val="4A6E7AE4"/>
    <w:rsid w:val="4B287DD0"/>
    <w:rsid w:val="4B611696"/>
    <w:rsid w:val="4B716B7D"/>
    <w:rsid w:val="4BD57DC1"/>
    <w:rsid w:val="4BE7146D"/>
    <w:rsid w:val="4C727866"/>
    <w:rsid w:val="4C7F1A7D"/>
    <w:rsid w:val="4C9E5AA1"/>
    <w:rsid w:val="4CB07E81"/>
    <w:rsid w:val="4CC1775F"/>
    <w:rsid w:val="4D2D66F2"/>
    <w:rsid w:val="4D6F45E4"/>
    <w:rsid w:val="4D932079"/>
    <w:rsid w:val="4DCF6FBA"/>
    <w:rsid w:val="4E167E86"/>
    <w:rsid w:val="4E2A1E24"/>
    <w:rsid w:val="4E2A75ED"/>
    <w:rsid w:val="4E4B2C8F"/>
    <w:rsid w:val="4E7573AC"/>
    <w:rsid w:val="4EDF00AD"/>
    <w:rsid w:val="4EE35842"/>
    <w:rsid w:val="4F336E3C"/>
    <w:rsid w:val="4F3E7C93"/>
    <w:rsid w:val="4F545416"/>
    <w:rsid w:val="4FA92B71"/>
    <w:rsid w:val="50166955"/>
    <w:rsid w:val="50320181"/>
    <w:rsid w:val="50C007EA"/>
    <w:rsid w:val="51014520"/>
    <w:rsid w:val="510179DE"/>
    <w:rsid w:val="512947D3"/>
    <w:rsid w:val="512E1FB3"/>
    <w:rsid w:val="51320B05"/>
    <w:rsid w:val="5136522B"/>
    <w:rsid w:val="516C3A15"/>
    <w:rsid w:val="51920E45"/>
    <w:rsid w:val="51B80B62"/>
    <w:rsid w:val="51E87C2F"/>
    <w:rsid w:val="52323E50"/>
    <w:rsid w:val="5268400B"/>
    <w:rsid w:val="529B26EB"/>
    <w:rsid w:val="52EF06B7"/>
    <w:rsid w:val="5304357D"/>
    <w:rsid w:val="531442E2"/>
    <w:rsid w:val="533B277C"/>
    <w:rsid w:val="534963CD"/>
    <w:rsid w:val="53644165"/>
    <w:rsid w:val="539603BB"/>
    <w:rsid w:val="539A650E"/>
    <w:rsid w:val="53B81EE5"/>
    <w:rsid w:val="53DA4F34"/>
    <w:rsid w:val="53FC3DF4"/>
    <w:rsid w:val="540E61EF"/>
    <w:rsid w:val="54107A70"/>
    <w:rsid w:val="54241B73"/>
    <w:rsid w:val="549D5FD9"/>
    <w:rsid w:val="549D6597"/>
    <w:rsid w:val="55295FE6"/>
    <w:rsid w:val="5532100D"/>
    <w:rsid w:val="55770F00"/>
    <w:rsid w:val="55797199"/>
    <w:rsid w:val="55AB06A5"/>
    <w:rsid w:val="55B56D20"/>
    <w:rsid w:val="56003784"/>
    <w:rsid w:val="56145195"/>
    <w:rsid w:val="56C12838"/>
    <w:rsid w:val="57321FFA"/>
    <w:rsid w:val="57B11DED"/>
    <w:rsid w:val="57C71FEE"/>
    <w:rsid w:val="580F187B"/>
    <w:rsid w:val="584510FB"/>
    <w:rsid w:val="584E7903"/>
    <w:rsid w:val="58875F10"/>
    <w:rsid w:val="591362E9"/>
    <w:rsid w:val="59156270"/>
    <w:rsid w:val="59227861"/>
    <w:rsid w:val="5928592B"/>
    <w:rsid w:val="59482EB8"/>
    <w:rsid w:val="59604A20"/>
    <w:rsid w:val="5972651C"/>
    <w:rsid w:val="5A12459D"/>
    <w:rsid w:val="5A201975"/>
    <w:rsid w:val="5A2E5601"/>
    <w:rsid w:val="5A51347D"/>
    <w:rsid w:val="5AAB7053"/>
    <w:rsid w:val="5AC2738F"/>
    <w:rsid w:val="5AF041C1"/>
    <w:rsid w:val="5AFC0649"/>
    <w:rsid w:val="5B201B97"/>
    <w:rsid w:val="5B316BB2"/>
    <w:rsid w:val="5B5C0CEB"/>
    <w:rsid w:val="5B9508DB"/>
    <w:rsid w:val="5C17597B"/>
    <w:rsid w:val="5C1A73B7"/>
    <w:rsid w:val="5CE04AB7"/>
    <w:rsid w:val="5CED5434"/>
    <w:rsid w:val="5D19796F"/>
    <w:rsid w:val="5D247304"/>
    <w:rsid w:val="5DA07AED"/>
    <w:rsid w:val="5E0F64A9"/>
    <w:rsid w:val="5E226AE4"/>
    <w:rsid w:val="5E75012C"/>
    <w:rsid w:val="5E87360F"/>
    <w:rsid w:val="5F036C38"/>
    <w:rsid w:val="5F57773F"/>
    <w:rsid w:val="5F865A75"/>
    <w:rsid w:val="5FBE29D8"/>
    <w:rsid w:val="5FE86344"/>
    <w:rsid w:val="607413BF"/>
    <w:rsid w:val="60BC53EF"/>
    <w:rsid w:val="60D45AF5"/>
    <w:rsid w:val="61027780"/>
    <w:rsid w:val="612605D2"/>
    <w:rsid w:val="61B465BF"/>
    <w:rsid w:val="61FB7015"/>
    <w:rsid w:val="625866C8"/>
    <w:rsid w:val="627129F7"/>
    <w:rsid w:val="632867AF"/>
    <w:rsid w:val="6370708C"/>
    <w:rsid w:val="638953F4"/>
    <w:rsid w:val="638F6B6A"/>
    <w:rsid w:val="63974B7F"/>
    <w:rsid w:val="63A9658E"/>
    <w:rsid w:val="63B41A8E"/>
    <w:rsid w:val="63D64007"/>
    <w:rsid w:val="63F44DD9"/>
    <w:rsid w:val="63FF5D32"/>
    <w:rsid w:val="640A4280"/>
    <w:rsid w:val="642A61F7"/>
    <w:rsid w:val="64367C04"/>
    <w:rsid w:val="64782998"/>
    <w:rsid w:val="653E6B5C"/>
    <w:rsid w:val="658D6C7E"/>
    <w:rsid w:val="65DB5FF1"/>
    <w:rsid w:val="66002BEC"/>
    <w:rsid w:val="66216C98"/>
    <w:rsid w:val="662777EB"/>
    <w:rsid w:val="664C5AF9"/>
    <w:rsid w:val="66A767BE"/>
    <w:rsid w:val="673A0337"/>
    <w:rsid w:val="67441728"/>
    <w:rsid w:val="678E5122"/>
    <w:rsid w:val="67971486"/>
    <w:rsid w:val="67AB74CF"/>
    <w:rsid w:val="67BD61FC"/>
    <w:rsid w:val="67C92C74"/>
    <w:rsid w:val="67D166B0"/>
    <w:rsid w:val="68070F03"/>
    <w:rsid w:val="685C72BD"/>
    <w:rsid w:val="68694029"/>
    <w:rsid w:val="688A0EA2"/>
    <w:rsid w:val="68946D08"/>
    <w:rsid w:val="68C61C38"/>
    <w:rsid w:val="6960453B"/>
    <w:rsid w:val="69D67644"/>
    <w:rsid w:val="6A1B62E6"/>
    <w:rsid w:val="6A292A3B"/>
    <w:rsid w:val="6A574ACC"/>
    <w:rsid w:val="6B087713"/>
    <w:rsid w:val="6B8C22D2"/>
    <w:rsid w:val="6BED2C94"/>
    <w:rsid w:val="6C052523"/>
    <w:rsid w:val="6C2216A6"/>
    <w:rsid w:val="6C7B45A8"/>
    <w:rsid w:val="6C93129E"/>
    <w:rsid w:val="6CB84779"/>
    <w:rsid w:val="6D2E4AE7"/>
    <w:rsid w:val="6D2E5AED"/>
    <w:rsid w:val="6D422099"/>
    <w:rsid w:val="6D5D2899"/>
    <w:rsid w:val="6D6D5CF4"/>
    <w:rsid w:val="6D8F6582"/>
    <w:rsid w:val="6DBB323B"/>
    <w:rsid w:val="6DC352E1"/>
    <w:rsid w:val="6DCC5B35"/>
    <w:rsid w:val="6E0B6EAB"/>
    <w:rsid w:val="6E28521A"/>
    <w:rsid w:val="6E2F277D"/>
    <w:rsid w:val="6E3D1684"/>
    <w:rsid w:val="6E796718"/>
    <w:rsid w:val="6E7D5E48"/>
    <w:rsid w:val="6ED11FEA"/>
    <w:rsid w:val="6F0A01C5"/>
    <w:rsid w:val="6F9B519C"/>
    <w:rsid w:val="6FC34F4E"/>
    <w:rsid w:val="6FCB7439"/>
    <w:rsid w:val="6FE46719"/>
    <w:rsid w:val="704A5291"/>
    <w:rsid w:val="709C3544"/>
    <w:rsid w:val="70B8552E"/>
    <w:rsid w:val="70CF5FCF"/>
    <w:rsid w:val="71323AC1"/>
    <w:rsid w:val="716867B6"/>
    <w:rsid w:val="71B76A39"/>
    <w:rsid w:val="71C92C92"/>
    <w:rsid w:val="71D63BD6"/>
    <w:rsid w:val="720E6C5C"/>
    <w:rsid w:val="723F7DCE"/>
    <w:rsid w:val="728C2411"/>
    <w:rsid w:val="72D549D0"/>
    <w:rsid w:val="72EE6B94"/>
    <w:rsid w:val="72F963B7"/>
    <w:rsid w:val="73136812"/>
    <w:rsid w:val="7383219D"/>
    <w:rsid w:val="73857890"/>
    <w:rsid w:val="73AE0024"/>
    <w:rsid w:val="74286040"/>
    <w:rsid w:val="745A0FD6"/>
    <w:rsid w:val="747D3DA5"/>
    <w:rsid w:val="74CA42EA"/>
    <w:rsid w:val="74EB372F"/>
    <w:rsid w:val="7515477F"/>
    <w:rsid w:val="75930CBE"/>
    <w:rsid w:val="759D7C99"/>
    <w:rsid w:val="760D1E9B"/>
    <w:rsid w:val="76426A7A"/>
    <w:rsid w:val="76E235E7"/>
    <w:rsid w:val="77271244"/>
    <w:rsid w:val="773B7ACF"/>
    <w:rsid w:val="77A51B0F"/>
    <w:rsid w:val="77A674CC"/>
    <w:rsid w:val="77CB5856"/>
    <w:rsid w:val="780118BE"/>
    <w:rsid w:val="78147E3D"/>
    <w:rsid w:val="78366D12"/>
    <w:rsid w:val="784C141F"/>
    <w:rsid w:val="78591FAB"/>
    <w:rsid w:val="786E34C5"/>
    <w:rsid w:val="7884311C"/>
    <w:rsid w:val="789566C5"/>
    <w:rsid w:val="78CB05FB"/>
    <w:rsid w:val="78D31B5E"/>
    <w:rsid w:val="791F191E"/>
    <w:rsid w:val="79341367"/>
    <w:rsid w:val="7964654D"/>
    <w:rsid w:val="79752883"/>
    <w:rsid w:val="79DE4292"/>
    <w:rsid w:val="79F72F38"/>
    <w:rsid w:val="7A222590"/>
    <w:rsid w:val="7A5D1B2F"/>
    <w:rsid w:val="7A8B6304"/>
    <w:rsid w:val="7B110498"/>
    <w:rsid w:val="7B2A2BFA"/>
    <w:rsid w:val="7B6575B7"/>
    <w:rsid w:val="7BD613B0"/>
    <w:rsid w:val="7C5851D6"/>
    <w:rsid w:val="7C5A337F"/>
    <w:rsid w:val="7C6646DB"/>
    <w:rsid w:val="7C6B73DC"/>
    <w:rsid w:val="7C991C05"/>
    <w:rsid w:val="7C9D777E"/>
    <w:rsid w:val="7CC14990"/>
    <w:rsid w:val="7E04602F"/>
    <w:rsid w:val="7E487AAD"/>
    <w:rsid w:val="7E6A0F0A"/>
    <w:rsid w:val="7EB61DB2"/>
    <w:rsid w:val="7ED36FE9"/>
    <w:rsid w:val="7F154003"/>
    <w:rsid w:val="7F312AF8"/>
    <w:rsid w:val="7F781342"/>
    <w:rsid w:val="7F817663"/>
    <w:rsid w:val="7FB32C6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7">
    <w:name w:val="Normal Table"/>
    <w:autoRedefine/>
    <w:semiHidden/>
    <w:unhideWhenUsed/>
    <w:qFormat/>
    <w:uiPriority w:val="99"/>
    <w:tblPr>
      <w:tblCellMar>
        <w:top w:w="0" w:type="dxa"/>
        <w:left w:w="108" w:type="dxa"/>
        <w:bottom w:w="0" w:type="dxa"/>
        <w:right w:w="108" w:type="dxa"/>
      </w:tblCellMar>
    </w:tblPr>
  </w:style>
  <w:style w:type="paragraph" w:styleId="2">
    <w:name w:val="List Paragraph"/>
    <w:basedOn w:val="1"/>
    <w:next w:val="1"/>
    <w:autoRedefine/>
    <w:unhideWhenUsed/>
    <w:qFormat/>
    <w:uiPriority w:val="99"/>
    <w:pPr>
      <w:ind w:firstLine="420" w:firstLineChars="200"/>
    </w:pPr>
  </w:style>
  <w:style w:type="paragraph" w:styleId="3">
    <w:name w:val="annotation text"/>
    <w:basedOn w:val="1"/>
    <w:autoRedefine/>
    <w:qFormat/>
    <w:uiPriority w:val="0"/>
    <w:pPr>
      <w:jc w:val="left"/>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Normal (Web)"/>
    <w:basedOn w:val="1"/>
    <w:autoRedefine/>
    <w:qFormat/>
    <w:uiPriority w:val="0"/>
    <w:pPr>
      <w:spacing w:beforeAutospacing="1" w:afterAutospacing="1"/>
      <w:jc w:val="left"/>
    </w:pPr>
    <w:rPr>
      <w:kern w:val="0"/>
      <w:sz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C050C75-1257-45AA-8526-689FD9CC80DB}">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4</Pages>
  <Words>3423</Words>
  <Characters>3542</Characters>
  <Lines>37</Lines>
  <Paragraphs>10</Paragraphs>
  <TotalTime>5</TotalTime>
  <ScaleCrop>false</ScaleCrop>
  <LinksUpToDate>false</LinksUpToDate>
  <CharactersWithSpaces>3577</CharactersWithSpaces>
  <Application>WPS Office_12.1.0.18240_F1E327BC-269C-435d-A152-05C5408002CA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2021-09-09T06:05:00Z</dcterms:created>
  <dc:creator>~天空湛蓝~</dc:creator>
  <cp:lastModifiedBy>谷</cp:lastModifiedBy>
  <cp:lastPrinted>2022-09-19T03:03:00Z</cp:lastPrinted>
  <dcterms:modified xsi:type="dcterms:W3CDTF">2024-09-11T00:06:29Z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2052-12.1.0.18240</vt:lpwstr>
  </property>
  <property fmtid="{D5CDD505-2E9C-101B-9397-08002B2CF9AE}" pid="3" name="ICV">
    <vt:lpwstr>126C626263E44440899A02070F93FCAF</vt:lpwstr>
  </property>
</Properties>
</file>