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ind w:firstLine="560" w:firstLineChars="200"/>
        <w:rPr>
          <w:rFonts w:hint="default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宋体"/>
          <w:bCs/>
          <w:kern w:val="0"/>
          <w:sz w:val="28"/>
          <w:szCs w:val="28"/>
          <w:highlight w:val="none"/>
          <w:lang w:val="en-US" w:eastAsia="zh-CN"/>
        </w:rPr>
        <w:t>固态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聚氯化铝</w:t>
      </w:r>
      <w:r>
        <w:rPr>
          <w:rFonts w:hint="eastAsia" w:ascii="宋体" w:hAnsi="宋体" w:cs="宋体"/>
          <w:bCs/>
          <w:kern w:val="0"/>
          <w:sz w:val="28"/>
          <w:szCs w:val="28"/>
          <w:highlight w:val="none"/>
          <w:lang w:val="en-US" w:eastAsia="zh-CN"/>
        </w:rPr>
        <w:t>须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满足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en-US"/>
        </w:rPr>
        <w:t>GB</w:t>
      </w:r>
      <w:r>
        <w:rPr>
          <w:rFonts w:hint="eastAsia" w:ascii="宋体" w:hAnsi="宋体" w:cs="宋体"/>
          <w:bCs/>
          <w:kern w:val="0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en-US"/>
        </w:rPr>
        <w:t>15892—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2020《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  <w:t>生活饮用水用聚氯化铝》标准要求。</w:t>
      </w:r>
    </w:p>
    <w:p>
      <w:pPr>
        <w:spacing w:line="520" w:lineRule="exact"/>
        <w:ind w:firstLine="560" w:firstLineChars="200"/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en-US"/>
        </w:rPr>
        <w:t>1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  <w:t>原料要求：</w:t>
      </w:r>
    </w:p>
    <w:p>
      <w:pPr>
        <w:spacing w:line="520" w:lineRule="exact"/>
        <w:ind w:firstLine="560" w:firstLineChars="200"/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  <w:t>生产</w:t>
      </w:r>
      <w:r>
        <w:rPr>
          <w:rFonts w:hint="eastAsia" w:ascii="宋体" w:hAnsi="宋体" w:cs="宋体"/>
          <w:bCs/>
          <w:kern w:val="0"/>
          <w:sz w:val="28"/>
          <w:szCs w:val="28"/>
          <w:highlight w:val="none"/>
          <w:lang w:val="en-US" w:eastAsia="zh-CN"/>
        </w:rPr>
        <w:t>固态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  <w:t>聚氯化铝的原料盐酸，应采用符合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en-US"/>
        </w:rPr>
        <w:t xml:space="preserve">GB/T 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  <w:t>320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-2006《工业用合成盐酸》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  <w:t>规定的工业用合成盐酸；含铝原料，应以符合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en-US"/>
        </w:rPr>
        <w:t xml:space="preserve">GB/T 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  <w:t>429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4-2010《氢氧化铝》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  <w:t>规定的氢氧化铝为主要原料。</w:t>
      </w:r>
    </w:p>
    <w:p>
      <w:pPr>
        <w:spacing w:line="520" w:lineRule="exact"/>
        <w:ind w:firstLine="560" w:firstLineChars="200"/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宋体"/>
          <w:bCs/>
          <w:kern w:val="0"/>
          <w:sz w:val="28"/>
          <w:szCs w:val="28"/>
          <w:highlight w:val="none"/>
          <w:lang w:val="en-US" w:eastAsia="zh-CN"/>
        </w:rPr>
        <w:t>2.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外观要求：形态为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  <w:t>白色至淡黄色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固态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  <w:t>颗粒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。</w:t>
      </w:r>
    </w:p>
    <w:p>
      <w:pPr>
        <w:spacing w:line="520" w:lineRule="exact"/>
        <w:ind w:firstLine="560" w:firstLineChars="200"/>
        <w:rPr>
          <w:rFonts w:hint="default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宋体"/>
          <w:bCs/>
          <w:kern w:val="0"/>
          <w:sz w:val="28"/>
          <w:szCs w:val="28"/>
          <w:highlight w:val="none"/>
          <w:lang w:val="en-US" w:eastAsia="zh-CN"/>
        </w:rPr>
        <w:t>3.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具体指标要求见</w:t>
      </w:r>
      <w:r>
        <w:rPr>
          <w:rFonts w:hint="eastAsia" w:ascii="宋体" w:hAnsi="宋体" w:cs="宋体"/>
          <w:bCs/>
          <w:kern w:val="0"/>
          <w:sz w:val="28"/>
          <w:szCs w:val="28"/>
          <w:highlight w:val="none"/>
          <w:lang w:val="en-US" w:eastAsia="zh-CN"/>
        </w:rPr>
        <w:t>下表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：</w:t>
      </w:r>
    </w:p>
    <w:tbl>
      <w:tblPr>
        <w:tblStyle w:val="9"/>
        <w:tblpPr w:leftFromText="180" w:rightFromText="180" w:vertAnchor="text" w:horzAnchor="page" w:tblpXSpec="center" w:tblpY="311"/>
        <w:tblOverlap w:val="never"/>
        <w:tblW w:w="8323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4558"/>
        <w:gridCol w:w="3765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exact"/>
          <w:jc w:val="center"/>
        </w:trPr>
        <w:tc>
          <w:tcPr>
            <w:tcW w:w="455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2" w:firstLineChars="200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  <w:t>指标名称</w:t>
            </w:r>
          </w:p>
        </w:tc>
        <w:tc>
          <w:tcPr>
            <w:tcW w:w="3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  <w:t>指标（固态）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exact"/>
          <w:jc w:val="center"/>
        </w:trPr>
        <w:tc>
          <w:tcPr>
            <w:tcW w:w="455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0" w:firstLineChars="200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氧化铝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(Al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vertAlign w:val="subscript"/>
                <w:lang w:val="en-US" w:eastAsia="en-US"/>
              </w:rPr>
              <w:t>2</w:t>
            </w: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O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vertAlign w:val="subscript"/>
                <w:lang w:val="en-US" w:eastAsia="en-US"/>
              </w:rPr>
              <w:t>3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)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的质量分数/%</w:t>
            </w:r>
          </w:p>
        </w:tc>
        <w:tc>
          <w:tcPr>
            <w:tcW w:w="3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29.0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exact"/>
          <w:jc w:val="center"/>
        </w:trPr>
        <w:tc>
          <w:tcPr>
            <w:tcW w:w="455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0" w:firstLineChars="200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盐基度/%</w:t>
            </w:r>
          </w:p>
        </w:tc>
        <w:tc>
          <w:tcPr>
            <w:tcW w:w="3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45.0—90.0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exact"/>
          <w:jc w:val="center"/>
        </w:trPr>
        <w:tc>
          <w:tcPr>
            <w:tcW w:w="455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0" w:firstLineChars="200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不溶物的质量分数/%</w:t>
            </w:r>
          </w:p>
        </w:tc>
        <w:tc>
          <w:tcPr>
            <w:tcW w:w="3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≤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0.1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exact"/>
          <w:jc w:val="center"/>
        </w:trPr>
        <w:tc>
          <w:tcPr>
            <w:tcW w:w="455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0" w:firstLineChars="200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pH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 xml:space="preserve">值(10 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g/L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水溶液)</w:t>
            </w:r>
          </w:p>
        </w:tc>
        <w:tc>
          <w:tcPr>
            <w:tcW w:w="3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3.5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〜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5.0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exact"/>
          <w:jc w:val="center"/>
        </w:trPr>
        <w:tc>
          <w:tcPr>
            <w:tcW w:w="455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0" w:firstLineChars="200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铁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(Fe)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的质量分数/%</w:t>
            </w:r>
          </w:p>
        </w:tc>
        <w:tc>
          <w:tcPr>
            <w:tcW w:w="3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≤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0.2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exact"/>
          <w:jc w:val="center"/>
        </w:trPr>
        <w:tc>
          <w:tcPr>
            <w:tcW w:w="455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0" w:firstLineChars="200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砷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(As)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的质量分数/%</w:t>
            </w:r>
          </w:p>
        </w:tc>
        <w:tc>
          <w:tcPr>
            <w:tcW w:w="3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≤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0.000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exact"/>
          <w:jc w:val="center"/>
        </w:trPr>
        <w:tc>
          <w:tcPr>
            <w:tcW w:w="455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0" w:firstLineChars="200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铅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(Pb)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的质量分数/%</w:t>
            </w:r>
          </w:p>
        </w:tc>
        <w:tc>
          <w:tcPr>
            <w:tcW w:w="3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≤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 xml:space="preserve">0.000 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exact"/>
          <w:jc w:val="center"/>
        </w:trPr>
        <w:tc>
          <w:tcPr>
            <w:tcW w:w="455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0" w:firstLineChars="200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镉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(Cd)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的质量分数/%</w:t>
            </w:r>
          </w:p>
        </w:tc>
        <w:tc>
          <w:tcPr>
            <w:tcW w:w="3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≤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0.000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exact"/>
          <w:jc w:val="center"/>
        </w:trPr>
        <w:tc>
          <w:tcPr>
            <w:tcW w:w="455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0" w:firstLineChars="200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汞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(Hg)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的质量分数/%</w:t>
            </w:r>
          </w:p>
        </w:tc>
        <w:tc>
          <w:tcPr>
            <w:tcW w:w="3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≤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0.000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01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exact"/>
          <w:jc w:val="center"/>
        </w:trPr>
        <w:tc>
          <w:tcPr>
            <w:tcW w:w="455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0" w:firstLineChars="200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铬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(Cr)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的质量分数/%</w:t>
            </w:r>
          </w:p>
        </w:tc>
        <w:tc>
          <w:tcPr>
            <w:tcW w:w="3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≤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0.000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76" w:hRule="exact"/>
          <w:jc w:val="center"/>
        </w:trPr>
        <w:tc>
          <w:tcPr>
            <w:tcW w:w="83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60" w:firstLineChars="200"/>
              <w:jc w:val="left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本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表中所列产品的不溶物、铁、砷、铅、镉、汞、铬的质量分数均按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Al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vertAlign w:val="subscript"/>
                <w:lang w:val="en-US" w:eastAsia="en-US"/>
              </w:rPr>
              <w:t>2</w:t>
            </w: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O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vertAlign w:val="subscript"/>
                <w:lang w:val="en-US" w:eastAsia="en-US"/>
              </w:rPr>
              <w:t>3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含量为10.0%计,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Al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vertAlign w:val="subscript"/>
                <w:lang w:val="en-US" w:eastAsia="en-US"/>
              </w:rPr>
              <w:t>2</w:t>
            </w: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O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vertAlign w:val="subscript"/>
                <w:lang w:val="en-US" w:eastAsia="en-US"/>
              </w:rPr>
              <w:t>3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含量＞10.0%时，应按实际含量折算成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en-US"/>
              </w:rPr>
              <w:t>Al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vertAlign w:val="subscript"/>
                <w:lang w:val="en-US" w:eastAsia="en-US"/>
              </w:rPr>
              <w:t>2</w:t>
            </w: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O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vertAlign w:val="subscript"/>
                <w:lang w:val="en-US" w:eastAsia="en-US"/>
              </w:rPr>
              <w:t>3</w:t>
            </w: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为10.0%产品比例，计算出相应的质量分数。</w:t>
            </w:r>
          </w:p>
          <w:p>
            <w:pPr>
              <w:spacing w:line="520" w:lineRule="exact"/>
              <w:ind w:firstLine="560" w:firstLineChars="200"/>
              <w:jc w:val="left"/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  <w:highlight w:val="none"/>
                <w:lang w:val="en-US" w:eastAsia="zh-CN"/>
              </w:rPr>
              <w:t>本产品还应符合国家相关法律法规及强制性标准要求。</w:t>
            </w:r>
          </w:p>
        </w:tc>
      </w:tr>
    </w:tbl>
    <w:p>
      <w:pPr>
        <w:spacing w:line="520" w:lineRule="exact"/>
        <w:ind w:firstLine="560" w:firstLineChars="200"/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</w:pPr>
    </w:p>
    <w:p>
      <w:pPr>
        <w:spacing w:line="520" w:lineRule="exact"/>
        <w:ind w:firstLine="560" w:firstLineChars="200"/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4.絮凝效果：必须有良好的絮凝效果。</w:t>
      </w:r>
    </w:p>
    <w:p>
      <w:pPr>
        <w:spacing w:line="520" w:lineRule="exact"/>
        <w:ind w:firstLine="560" w:firstLineChars="200"/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val="en-US" w:eastAsia="zh-CN"/>
        </w:rPr>
        <w:t>5.</w:t>
      </w:r>
      <w:r>
        <w:rPr>
          <w:rFonts w:hint="eastAsia" w:ascii="宋体" w:hAnsi="宋体" w:cs="宋体"/>
          <w:bCs/>
          <w:kern w:val="0"/>
          <w:sz w:val="28"/>
          <w:szCs w:val="28"/>
          <w:highlight w:val="none"/>
          <w:lang w:val="en-US" w:eastAsia="zh-CN"/>
        </w:rPr>
        <w:t>固态</w:t>
      </w:r>
      <w:r>
        <w:rPr>
          <w:rFonts w:hint="eastAsia" w:ascii="宋体" w:hAnsi="宋体" w:eastAsia="宋体" w:cs="宋体"/>
          <w:bCs/>
          <w:kern w:val="0"/>
          <w:sz w:val="28"/>
          <w:szCs w:val="28"/>
          <w:highlight w:val="none"/>
          <w:lang w:eastAsia="zh-CN"/>
        </w:rPr>
        <w:t>聚氯化铝产品都应附有质量检验报告及质量合格证。</w:t>
      </w:r>
    </w:p>
    <w:p>
      <w:pPr>
        <w:pStyle w:val="2"/>
        <w:ind w:firstLine="560" w:firstLineChars="200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6.固态</w:t>
      </w:r>
      <w:r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  <w:t>聚氯化铝的外包装上应有涂刷牢固清晰的标志,注明生产厂名、产品名称、商标、净质量、批号和生 产日期、标准编号以及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 xml:space="preserve">GB/T </w:t>
      </w:r>
      <w:r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  <w:t>191规定的</w:t>
      </w:r>
      <w:r>
        <w:rPr>
          <w:rFonts w:hint="eastAsia" w:ascii="宋体" w:hAnsi="宋体" w:eastAsia="宋体" w:cs="宋体"/>
          <w:sz w:val="28"/>
          <w:szCs w:val="28"/>
          <w:highlight w:val="none"/>
          <w:lang w:val="zh-CN" w:eastAsia="zh-CN"/>
        </w:rPr>
        <w:t>“怕雨”标志</w:t>
      </w:r>
      <w:r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  <w:t>。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 xml:space="preserve"> </w:t>
      </w:r>
    </w:p>
    <w:p>
      <w:pPr>
        <w:pStyle w:val="2"/>
        <w:ind w:firstLine="560" w:firstLineChars="200"/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  <w:t>7.固态聚氯化铝采用双层包装，内包装采用食品级聚乙烯薄膜袋，厚度不小于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en-US" w:bidi="ar-SA"/>
        </w:rPr>
        <w:t>0.05 mm,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  <w:t>包装容积应大于外包装，外包装的性能和检验方法应符合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en-US" w:bidi="ar-SA"/>
        </w:rPr>
        <w:t xml:space="preserve">GB/T 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  <w:t>8946-2013的规定。每袋净质量25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en-US" w:bidi="ar-SA"/>
        </w:rPr>
        <w:t>kg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  <w:t>或50kg（具体每袋净重响应招标人要求）。</w:t>
      </w:r>
    </w:p>
    <w:p>
      <w:pPr>
        <w:pStyle w:val="2"/>
        <w:ind w:firstLine="560" w:firstLineChars="200"/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  <w:t>8.固态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en-US" w:bidi="ar-SA"/>
        </w:rPr>
        <w:t>聚氯化铝在运输过程中应有遮盖物,避免雨淋、受潮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  <w:t>；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en-US" w:bidi="ar-SA"/>
        </w:rPr>
        <w:t>并保持包装完整、标志清晰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  <w:t>。</w:t>
      </w:r>
    </w:p>
    <w:p>
      <w:pPr>
        <w:pStyle w:val="2"/>
        <w:ind w:firstLine="560" w:firstLineChars="200"/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en-US" w:bidi="ar-SA"/>
        </w:rPr>
      </w:pP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  <w:t>9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en-US" w:bidi="ar-SA"/>
        </w:rPr>
        <w:t>.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  <w:t>固态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en-US" w:bidi="ar-SA"/>
        </w:rPr>
        <w:t>聚氯化铝应贮存在通风干燥的库房内。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  <w:t>固体聚氯化铝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en-US" w:bidi="ar-SA"/>
        </w:rPr>
        <w:t>贮存期为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zh-CN" w:bidi="ar-SA"/>
        </w:rPr>
        <w:t>12</w:t>
      </w:r>
      <w:r>
        <w:rPr>
          <w:rFonts w:hint="eastAsia" w:ascii="宋体" w:hAnsi="宋体" w:eastAsia="宋体" w:cs="宋体"/>
          <w:bCs/>
          <w:color w:val="auto"/>
          <w:kern w:val="0"/>
          <w:sz w:val="28"/>
          <w:szCs w:val="28"/>
          <w:highlight w:val="none"/>
          <w:lang w:val="en-US" w:eastAsia="en-US" w:bidi="ar-SA"/>
        </w:rPr>
        <w:t>个月。</w:t>
      </w:r>
      <w:bookmarkStart w:id="0" w:name="_GoBack"/>
      <w:bookmarkEnd w:id="0"/>
    </w:p>
    <w:p>
      <w:pPr>
        <w:pStyle w:val="3"/>
        <w:rPr>
          <w:rFonts w:hint="eastAsia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xMzNmNmU5NjQ4MmQxNjZkYzRkNWUwOWQ2YmE3ZGYifQ=="/>
  </w:docVars>
  <w:rsids>
    <w:rsidRoot w:val="00000000"/>
    <w:rsid w:val="03834A18"/>
    <w:rsid w:val="0386458F"/>
    <w:rsid w:val="03B90C14"/>
    <w:rsid w:val="06FF2973"/>
    <w:rsid w:val="07D15C49"/>
    <w:rsid w:val="091F5057"/>
    <w:rsid w:val="09712E6F"/>
    <w:rsid w:val="0A2E531E"/>
    <w:rsid w:val="0A5A7844"/>
    <w:rsid w:val="0BCF6A56"/>
    <w:rsid w:val="0E17285A"/>
    <w:rsid w:val="0E581A88"/>
    <w:rsid w:val="0E9D7FD6"/>
    <w:rsid w:val="0EA661BE"/>
    <w:rsid w:val="0F4362A8"/>
    <w:rsid w:val="0F7D6815"/>
    <w:rsid w:val="10237E7A"/>
    <w:rsid w:val="10543BDC"/>
    <w:rsid w:val="14E62317"/>
    <w:rsid w:val="1566680C"/>
    <w:rsid w:val="160B24E4"/>
    <w:rsid w:val="166E5A99"/>
    <w:rsid w:val="16F34D64"/>
    <w:rsid w:val="172029DA"/>
    <w:rsid w:val="18420A61"/>
    <w:rsid w:val="18E57EEF"/>
    <w:rsid w:val="190D588E"/>
    <w:rsid w:val="1913461E"/>
    <w:rsid w:val="19A34ABF"/>
    <w:rsid w:val="19E65CC5"/>
    <w:rsid w:val="1AA70F88"/>
    <w:rsid w:val="1AFD72AE"/>
    <w:rsid w:val="1B6938F9"/>
    <w:rsid w:val="21533795"/>
    <w:rsid w:val="22193ADE"/>
    <w:rsid w:val="24AC6626"/>
    <w:rsid w:val="257C6C72"/>
    <w:rsid w:val="268964E5"/>
    <w:rsid w:val="28B96419"/>
    <w:rsid w:val="28E82542"/>
    <w:rsid w:val="292F6596"/>
    <w:rsid w:val="2A704A7F"/>
    <w:rsid w:val="2BB34BC2"/>
    <w:rsid w:val="2C646630"/>
    <w:rsid w:val="2D4E2EAC"/>
    <w:rsid w:val="2E1B2C57"/>
    <w:rsid w:val="2EAC4421"/>
    <w:rsid w:val="30594C71"/>
    <w:rsid w:val="30C93DD8"/>
    <w:rsid w:val="31467772"/>
    <w:rsid w:val="31CC2391"/>
    <w:rsid w:val="327E7533"/>
    <w:rsid w:val="33056DBE"/>
    <w:rsid w:val="36336D1C"/>
    <w:rsid w:val="36367C1A"/>
    <w:rsid w:val="37006B72"/>
    <w:rsid w:val="37563F1A"/>
    <w:rsid w:val="39223962"/>
    <w:rsid w:val="39EB70F4"/>
    <w:rsid w:val="3A837631"/>
    <w:rsid w:val="3CB454A9"/>
    <w:rsid w:val="3D031ED8"/>
    <w:rsid w:val="403C458B"/>
    <w:rsid w:val="417B7F9A"/>
    <w:rsid w:val="41E43BF6"/>
    <w:rsid w:val="43A940AB"/>
    <w:rsid w:val="43AB6501"/>
    <w:rsid w:val="44337658"/>
    <w:rsid w:val="45D67254"/>
    <w:rsid w:val="46AD1297"/>
    <w:rsid w:val="46D2736E"/>
    <w:rsid w:val="47D56BD3"/>
    <w:rsid w:val="47DF5161"/>
    <w:rsid w:val="4CFD45EB"/>
    <w:rsid w:val="4E6A5BB5"/>
    <w:rsid w:val="4EE12235"/>
    <w:rsid w:val="524729FC"/>
    <w:rsid w:val="52A81045"/>
    <w:rsid w:val="52EA75A5"/>
    <w:rsid w:val="53613A47"/>
    <w:rsid w:val="547755A7"/>
    <w:rsid w:val="548F395C"/>
    <w:rsid w:val="54DA51D4"/>
    <w:rsid w:val="55280380"/>
    <w:rsid w:val="55747CCB"/>
    <w:rsid w:val="56F75AF9"/>
    <w:rsid w:val="577547EA"/>
    <w:rsid w:val="583A0947"/>
    <w:rsid w:val="58443BDE"/>
    <w:rsid w:val="5A973AB1"/>
    <w:rsid w:val="5B50795F"/>
    <w:rsid w:val="5D3D357E"/>
    <w:rsid w:val="5D58307C"/>
    <w:rsid w:val="5E9E11A1"/>
    <w:rsid w:val="5EC62D2C"/>
    <w:rsid w:val="5ED3457B"/>
    <w:rsid w:val="603C2900"/>
    <w:rsid w:val="63A42F85"/>
    <w:rsid w:val="63D61EF5"/>
    <w:rsid w:val="643B0C2A"/>
    <w:rsid w:val="657D21BD"/>
    <w:rsid w:val="69D47AF0"/>
    <w:rsid w:val="6B5C578A"/>
    <w:rsid w:val="6B7743BB"/>
    <w:rsid w:val="6C0B7DFB"/>
    <w:rsid w:val="6C533F9F"/>
    <w:rsid w:val="6D6A35FD"/>
    <w:rsid w:val="6E3B4B9F"/>
    <w:rsid w:val="6FDD10DC"/>
    <w:rsid w:val="700B22DB"/>
    <w:rsid w:val="702901DE"/>
    <w:rsid w:val="70ED3A8D"/>
    <w:rsid w:val="711D123F"/>
    <w:rsid w:val="71F06378"/>
    <w:rsid w:val="72ED3F26"/>
    <w:rsid w:val="73AB07CA"/>
    <w:rsid w:val="73C86C78"/>
    <w:rsid w:val="74413DA0"/>
    <w:rsid w:val="74F97EA9"/>
    <w:rsid w:val="75C14198"/>
    <w:rsid w:val="764C46A6"/>
    <w:rsid w:val="767A486C"/>
    <w:rsid w:val="76862EDA"/>
    <w:rsid w:val="77DF48CE"/>
    <w:rsid w:val="7824723F"/>
    <w:rsid w:val="79AB0874"/>
    <w:rsid w:val="7AF35C54"/>
    <w:rsid w:val="7BA26C50"/>
    <w:rsid w:val="7D417142"/>
    <w:rsid w:val="7DB843A4"/>
    <w:rsid w:val="7DC64795"/>
    <w:rsid w:val="7E6B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next w:val="3"/>
    <w:qFormat/>
    <w:uiPriority w:val="0"/>
    <w:pPr>
      <w:widowControl w:val="0"/>
      <w:autoSpaceDE w:val="0"/>
      <w:autoSpaceDN w:val="0"/>
      <w:adjustRightInd w:val="0"/>
    </w:pPr>
    <w:rPr>
      <w:rFonts w:ascii="楷体_GB2312" w:hAnsi="Times New Roman" w:eastAsia="楷体_GB2312" w:cs="楷体_GB2312"/>
      <w:color w:val="000000"/>
      <w:sz w:val="24"/>
      <w:szCs w:val="24"/>
      <w:lang w:val="en-US" w:eastAsia="zh-CN" w:bidi="ar-SA"/>
    </w:rPr>
  </w:style>
  <w:style w:type="paragraph" w:customStyle="1" w:styleId="3">
    <w:name w:val="大标题"/>
    <w:basedOn w:val="4"/>
    <w:next w:val="5"/>
    <w:qFormat/>
    <w:uiPriority w:val="0"/>
    <w:pPr>
      <w:tabs>
        <w:tab w:val="left" w:pos="795"/>
        <w:tab w:val="center" w:pos="4156"/>
      </w:tabs>
      <w:adjustRightInd w:val="0"/>
      <w:spacing w:line="360" w:lineRule="auto"/>
      <w:ind w:firstLine="200" w:firstLineChars="200"/>
    </w:pPr>
    <w:rPr>
      <w:rFonts w:ascii="宋体" w:hAnsi="宋体"/>
      <w:bCs w:val="0"/>
      <w:kern w:val="0"/>
      <w:szCs w:val="20"/>
      <w:lang w:val="en-US" w:eastAsia="zh-CN"/>
    </w:rPr>
  </w:style>
  <w:style w:type="paragraph" w:styleId="4">
    <w:name w:val="Title"/>
    <w:basedOn w:val="1"/>
    <w:next w:val="1"/>
    <w:qFormat/>
    <w:uiPriority w:val="99"/>
    <w:pPr>
      <w:widowControl/>
      <w:tabs>
        <w:tab w:val="left" w:pos="795"/>
        <w:tab w:val="center" w:pos="4156"/>
      </w:tabs>
      <w:spacing w:before="240" w:line="312" w:lineRule="auto"/>
      <w:jc w:val="center"/>
    </w:pPr>
    <w:rPr>
      <w:rFonts w:ascii="黑体" w:hAnsi="黑体" w:eastAsia="黑体"/>
      <w:b/>
      <w:bCs/>
      <w:kern w:val="0"/>
      <w:sz w:val="28"/>
      <w:szCs w:val="32"/>
    </w:rPr>
  </w:style>
  <w:style w:type="paragraph" w:styleId="5">
    <w:name w:val="Body Text First Indent 2"/>
    <w:basedOn w:val="6"/>
    <w:next w:val="1"/>
    <w:qFormat/>
    <w:uiPriority w:val="0"/>
    <w:pPr>
      <w:widowControl w:val="0"/>
      <w:spacing w:after="120"/>
      <w:ind w:left="200" w:leftChars="200" w:firstLine="42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6">
    <w:name w:val="Body Text Indent"/>
    <w:basedOn w:val="1"/>
    <w:next w:val="7"/>
    <w:qFormat/>
    <w:uiPriority w:val="0"/>
    <w:pPr>
      <w:spacing w:line="440" w:lineRule="exact"/>
      <w:ind w:firstLine="630"/>
    </w:pPr>
    <w:rPr>
      <w:rFonts w:ascii="宋体"/>
      <w:sz w:val="28"/>
    </w:rPr>
  </w:style>
  <w:style w:type="paragraph" w:styleId="7">
    <w:name w:val="envelope return"/>
    <w:basedOn w:val="1"/>
    <w:qFormat/>
    <w:uiPriority w:val="0"/>
    <w:pPr>
      <w:snapToGrid w:val="0"/>
      <w:spacing w:line="360" w:lineRule="auto"/>
      <w:ind w:firstLine="200" w:firstLineChars="200"/>
    </w:pPr>
    <w:rPr>
      <w:rFonts w:ascii="Arial" w:hAnsi="Arial" w:cs="Arial"/>
      <w:sz w:val="24"/>
      <w:szCs w:val="24"/>
    </w:rPr>
  </w:style>
  <w:style w:type="paragraph" w:styleId="8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/>
      <w:color w:val="00000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622</Words>
  <Characters>788</Characters>
  <Lines>0</Lines>
  <Paragraphs>0</Paragraphs>
  <TotalTime>29</TotalTime>
  <ScaleCrop>false</ScaleCrop>
  <LinksUpToDate>false</LinksUpToDate>
  <CharactersWithSpaces>798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2022-02-28T08:19:00Z</dcterms:created>
  <dc:creator>lenovo</dc:creator>
  <cp:lastModifiedBy>一一</cp:lastModifiedBy>
  <dcterms:modified xsi:type="dcterms:W3CDTF">2024-05-24T06:16:34Z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405EBDE550144B4D94C2E661D526DA9D</vt:lpwstr>
  </property>
</Properties>
</file>