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20" w:lineRule="exact"/>
        <w:ind w:firstLine="560" w:firstLineChars="200"/>
        <w:rPr>
          <w:rFonts w:hint="default" w:ascii="宋体" w:hAnsi="宋体" w:cs="Times New Roman"/>
          <w:b/>
          <w:bCs w:val="0"/>
          <w:sz w:val="28"/>
          <w:szCs w:val="28"/>
          <w:lang w:val="en-US" w:eastAsia="zh-CN"/>
        </w:rPr>
      </w:pPr>
      <w:r>
        <w:rPr>
          <w:rFonts w:hint="eastAsia" w:ascii="宋体" w:hAnsi="宋体" w:cs="Times New Roman"/>
          <w:bCs/>
          <w:sz w:val="28"/>
          <w:szCs w:val="28"/>
          <w:lang w:val="en-US" w:eastAsia="zh-CN"/>
        </w:rPr>
        <w:t>一</w:t>
      </w:r>
      <w:r>
        <w:rPr>
          <w:rFonts w:hint="eastAsia" w:ascii="宋体" w:hAnsi="宋体" w:cs="Times New Roman"/>
          <w:b/>
          <w:bCs w:val="0"/>
          <w:sz w:val="28"/>
          <w:szCs w:val="28"/>
          <w:lang w:val="en-US" w:eastAsia="zh-CN"/>
        </w:rPr>
        <w:t>、螺栓及膨胀栓技术要求</w:t>
      </w:r>
    </w:p>
    <w:p>
      <w:pPr>
        <w:numPr>
          <w:ilvl w:val="0"/>
          <w:numId w:val="0"/>
        </w:numPr>
        <w:ind w:firstLine="560" w:firstLineChars="200"/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1、螺栓严格执行GB5782-2016《六角头螺栓》8.8级螺栓、GB5783-2016《六角头螺栓 全螺纹》8.8级螺栓</w:t>
      </w:r>
      <w:r>
        <w:rPr>
          <w:rFonts w:hint="eastAsia" w:ascii="宋体" w:hAnsi="宋体" w:cs="宋体"/>
          <w:sz w:val="28"/>
          <w:szCs w:val="28"/>
          <w:lang w:val="en-US" w:eastAsia="zh-CN"/>
        </w:rPr>
        <w:t>、</w:t>
      </w: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GB6170-2015《1型六角螺母》8级螺母</w:t>
      </w:r>
      <w:r>
        <w:rPr>
          <w:rFonts w:hint="eastAsia" w:ascii="宋体" w:hAnsi="宋体" w:cs="宋体"/>
          <w:sz w:val="28"/>
          <w:szCs w:val="28"/>
          <w:lang w:val="en-US" w:eastAsia="zh-CN"/>
        </w:rPr>
        <w:t>以及GB/T 3098.1-2010</w:t>
      </w: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《</w:t>
      </w:r>
      <w:r>
        <w:rPr>
          <w:rFonts w:hint="eastAsia" w:ascii="宋体" w:hAnsi="宋体" w:cs="宋体"/>
          <w:sz w:val="28"/>
          <w:szCs w:val="28"/>
          <w:lang w:val="en-US" w:eastAsia="zh-CN"/>
        </w:rPr>
        <w:t>紧固件机械性能螺栓、螺钉和螺柱</w:t>
      </w: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》的标准要求。</w:t>
      </w:r>
    </w:p>
    <w:p>
      <w:pPr>
        <w:numPr>
          <w:ilvl w:val="0"/>
          <w:numId w:val="0"/>
        </w:numPr>
        <w:ind w:firstLine="560" w:firstLineChars="200"/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（1）螺栓、螺母表面均需要经防腐等处理为发黑；</w:t>
      </w:r>
    </w:p>
    <w:p>
      <w:pPr>
        <w:numPr>
          <w:ilvl w:val="0"/>
          <w:numId w:val="0"/>
        </w:numPr>
        <w:ind w:firstLine="560" w:firstLineChars="200"/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（2）螺栓、螺母材质为10B21及以上；</w:t>
      </w:r>
    </w:p>
    <w:p>
      <w:pPr>
        <w:numPr>
          <w:ilvl w:val="0"/>
          <w:numId w:val="0"/>
        </w:numPr>
        <w:ind w:firstLine="560" w:firstLineChars="200"/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（3）螺纹精度为6G级；</w:t>
      </w:r>
    </w:p>
    <w:p>
      <w:pPr>
        <w:numPr>
          <w:ilvl w:val="0"/>
          <w:numId w:val="0"/>
        </w:numPr>
        <w:ind w:firstLine="560" w:firstLineChars="200"/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（4）螺栓、螺母</w:t>
      </w:r>
      <w:r>
        <w:rPr>
          <w:rFonts w:hint="eastAsia" w:ascii="宋体" w:hAnsi="宋体" w:cs="宋体"/>
          <w:sz w:val="28"/>
          <w:szCs w:val="28"/>
          <w:lang w:val="en-US" w:eastAsia="zh-CN"/>
        </w:rPr>
        <w:t>洛氏</w:t>
      </w: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硬度均</w:t>
      </w:r>
      <w:r>
        <w:rPr>
          <w:rFonts w:hint="eastAsia" w:ascii="宋体" w:hAnsi="宋体" w:cs="宋体"/>
          <w:sz w:val="28"/>
          <w:szCs w:val="28"/>
          <w:lang w:val="en-US" w:eastAsia="zh-CN"/>
        </w:rPr>
        <w:t>不低于</w:t>
      </w: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HRC22—32；</w:t>
      </w:r>
    </w:p>
    <w:p>
      <w:pPr>
        <w:numPr>
          <w:ilvl w:val="0"/>
          <w:numId w:val="0"/>
        </w:numPr>
        <w:ind w:firstLine="560" w:firstLineChars="200"/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（5）螺栓及螺母的抗拉强度按照国家标准执行；</w:t>
      </w:r>
    </w:p>
    <w:p>
      <w:pPr>
        <w:numPr>
          <w:ilvl w:val="0"/>
          <w:numId w:val="0"/>
        </w:numPr>
        <w:ind w:firstLine="560" w:firstLineChars="200"/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（6）产品性能档次须相当于或优于以下品牌同档次及以上：浙江乍浦“瓦标”、江苏新成“新成”、常熟标准件“大力”、宁波华力“华力”、上海天宝“天宝”、上海标五“上标”。</w:t>
      </w:r>
    </w:p>
    <w:p>
      <w:pPr>
        <w:numPr>
          <w:ilvl w:val="0"/>
          <w:numId w:val="0"/>
        </w:numPr>
        <w:ind w:firstLine="560" w:firstLineChars="200"/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2、膨胀栓严格执行JB/ZQ4763-2006《膨胀螺栓》标准要求。</w:t>
      </w:r>
    </w:p>
    <w:p>
      <w:pPr>
        <w:numPr>
          <w:ilvl w:val="0"/>
          <w:numId w:val="0"/>
        </w:numPr>
        <w:ind w:firstLine="562" w:firstLineChars="200"/>
        <w:rPr>
          <w:rFonts w:hint="eastAsia" w:ascii="宋体" w:hAnsi="宋体" w:eastAsia="宋体" w:cs="宋体"/>
          <w:b/>
          <w:bCs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b/>
          <w:bCs/>
          <w:sz w:val="28"/>
          <w:szCs w:val="28"/>
          <w:lang w:val="en-US" w:eastAsia="zh-CN"/>
        </w:rPr>
        <w:t>二、铜管件技术要求</w:t>
      </w:r>
    </w:p>
    <w:p>
      <w:pPr>
        <w:numPr>
          <w:ilvl w:val="0"/>
          <w:numId w:val="0"/>
        </w:numPr>
        <w:ind w:firstLine="560" w:firstLineChars="200"/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1.铜管件满足《中华人民共和国城镇建设行业标准 卡套式铜制管接头》CJ/T 111-2018的标准要求；</w:t>
      </w:r>
    </w:p>
    <w:p>
      <w:pPr>
        <w:numPr>
          <w:ilvl w:val="0"/>
          <w:numId w:val="0"/>
        </w:numPr>
        <w:ind w:firstLine="560" w:firstLineChars="200"/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2.工作压力不低于1.0MPa；</w:t>
      </w:r>
    </w:p>
    <w:p>
      <w:pPr>
        <w:numPr>
          <w:ilvl w:val="0"/>
          <w:numId w:val="0"/>
        </w:numPr>
        <w:ind w:leftChars="0" w:firstLine="560" w:firstLineChars="200"/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3.主要材质</w:t>
      </w:r>
    </w:p>
    <w:p>
      <w:pPr>
        <w:numPr>
          <w:ilvl w:val="0"/>
          <w:numId w:val="0"/>
        </w:numPr>
        <w:ind w:leftChars="0" w:firstLine="560" w:firstLineChars="200"/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3.1主要零件材料接头本体、螺母、堵头、卡套</w:t>
      </w:r>
      <w:r>
        <w:rPr>
          <w:rFonts w:hint="eastAsia" w:ascii="宋体" w:hAnsi="宋体" w:eastAsia="宋体" w:cs="宋体"/>
          <w:b w:val="0"/>
          <w:bCs w:val="0"/>
          <w:sz w:val="28"/>
          <w:szCs w:val="28"/>
          <w:lang w:val="en-US" w:eastAsia="zh-CN"/>
        </w:rPr>
        <w:t>为黄铜HPb59-1,</w:t>
      </w: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满足GB/T5231-2012的要求；</w:t>
      </w:r>
    </w:p>
    <w:p>
      <w:pPr>
        <w:numPr>
          <w:ilvl w:val="0"/>
          <w:numId w:val="0"/>
        </w:numPr>
        <w:ind w:firstLine="560" w:firstLineChars="200"/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3.2密封圈材质为硅橡胶，满</w:t>
      </w:r>
      <w:bookmarkStart w:id="0" w:name="_GoBack"/>
      <w:bookmarkEnd w:id="0"/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足 HG/T2811-1996的标准要求，无毒、抗老化、耐油耐高温。密封性严格符合本标准要求，不得渗漏；根据使用要求，在满足本标准要求的前提下，也可采用其他类别的材料代替；</w:t>
      </w:r>
    </w:p>
    <w:p>
      <w:pPr>
        <w:numPr>
          <w:ilvl w:val="0"/>
          <w:numId w:val="0"/>
        </w:numPr>
        <w:ind w:leftChars="0" w:firstLine="560" w:firstLineChars="200"/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4.外观</w:t>
      </w:r>
    </w:p>
    <w:p>
      <w:pPr>
        <w:numPr>
          <w:ilvl w:val="0"/>
          <w:numId w:val="0"/>
        </w:numPr>
        <w:ind w:firstLine="560" w:firstLineChars="200"/>
        <w:rPr>
          <w:rFonts w:hint="default" w:ascii="宋体" w:hAnsi="宋体" w:eastAsia="宋体" w:cs="宋体"/>
          <w:sz w:val="28"/>
          <w:szCs w:val="28"/>
          <w:lang w:val="en-US" w:eastAsia="zh-CN"/>
        </w:rPr>
      </w:pPr>
      <w:r>
        <w:rPr>
          <w:rFonts w:hint="default" w:ascii="宋体" w:hAnsi="宋体" w:eastAsia="宋体" w:cs="宋体"/>
          <w:sz w:val="28"/>
          <w:szCs w:val="28"/>
          <w:lang w:val="en-US" w:eastAsia="zh-CN"/>
        </w:rPr>
        <w:t>管接头应色泽均</w:t>
      </w: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匀</w:t>
      </w:r>
      <w:r>
        <w:rPr>
          <w:rFonts w:hint="default" w:ascii="宋体" w:hAnsi="宋体" w:eastAsia="宋体" w:cs="宋体"/>
          <w:sz w:val="28"/>
          <w:szCs w:val="28"/>
          <w:lang w:val="en-US" w:eastAsia="zh-CN"/>
        </w:rPr>
        <w:t>，锐角倒钝，不得有裂纹和凹凸不平，铸件无气孔、夹渣、砂眼等。型号、规格、代号、标识应清晰。螺纹应无断扣、压痕、毛刺。螺纹拧入段应旋转自如，无卡阻现象。</w:t>
      </w:r>
    </w:p>
    <w:p>
      <w:pPr>
        <w:numPr>
          <w:ilvl w:val="0"/>
          <w:numId w:val="0"/>
        </w:numPr>
        <w:ind w:firstLine="560" w:firstLineChars="200"/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5.几何尺寸</w:t>
      </w:r>
    </w:p>
    <w:p>
      <w:pPr>
        <w:numPr>
          <w:ilvl w:val="0"/>
          <w:numId w:val="0"/>
        </w:numPr>
        <w:ind w:firstLine="560" w:firstLineChars="200"/>
        <w:rPr>
          <w:rFonts w:hint="default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5.1</w:t>
      </w:r>
      <w:r>
        <w:rPr>
          <w:rFonts w:hint="default" w:ascii="宋体" w:hAnsi="宋体" w:eastAsia="宋体" w:cs="宋体"/>
          <w:sz w:val="28"/>
          <w:szCs w:val="28"/>
          <w:lang w:val="en-US" w:eastAsia="zh-CN"/>
        </w:rPr>
        <w:t>管接头的壁厚尺寸除螺纹配合部位外，接头体任何部位厚度不应小于2.5 mm</w:t>
      </w: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；</w:t>
      </w:r>
    </w:p>
    <w:p>
      <w:pPr>
        <w:numPr>
          <w:ilvl w:val="0"/>
          <w:numId w:val="0"/>
        </w:numPr>
        <w:ind w:firstLine="560" w:firstLineChars="200"/>
        <w:rPr>
          <w:rFonts w:hint="default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5.2</w:t>
      </w:r>
      <w:r>
        <w:rPr>
          <w:rFonts w:hint="default" w:ascii="宋体" w:hAnsi="宋体" w:eastAsia="宋体" w:cs="宋体"/>
          <w:sz w:val="28"/>
          <w:szCs w:val="28"/>
          <w:lang w:val="en-US" w:eastAsia="zh-CN"/>
        </w:rPr>
        <w:t>普通螺纹的基本尺寸应符合GB/T 196-2003的规定，螺纹公差应符合GB/T 197-2018的规定，内螺纹为6H，外螺纹为6g。非螺纹密封的管螺纹应符合GB/T 7307-2001的规定，外螺纹为A级。</w:t>
      </w:r>
    </w:p>
    <w:p>
      <w:pPr>
        <w:numPr>
          <w:ilvl w:val="0"/>
          <w:numId w:val="0"/>
        </w:numPr>
        <w:ind w:firstLine="560" w:firstLineChars="200"/>
        <w:rPr>
          <w:rFonts w:hint="default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5.3</w:t>
      </w:r>
      <w:r>
        <w:rPr>
          <w:rFonts w:hint="default" w:ascii="宋体" w:hAnsi="宋体" w:eastAsia="宋体" w:cs="宋体"/>
          <w:sz w:val="28"/>
          <w:szCs w:val="28"/>
          <w:lang w:val="en-US" w:eastAsia="zh-CN"/>
        </w:rPr>
        <w:t>外螺纹侧面的表面粗糙度为Pa3.2,内螺纹侧面的表面粗糙度为Pa6.3。线性尺寸的一般公差，切削加工尺寸应符合</w:t>
      </w:r>
      <w:r>
        <w:rPr>
          <w:rFonts w:hint="default" w:ascii="宋体" w:hAnsi="宋体" w:eastAsia="宋体" w:cs="宋体"/>
          <w:color w:val="auto"/>
          <w:sz w:val="28"/>
          <w:szCs w:val="28"/>
          <w:highlight w:val="none"/>
          <w:lang w:val="en-US" w:eastAsia="zh-CN"/>
        </w:rPr>
        <w:t>GB/T 1804-2000</w:t>
      </w:r>
      <w:r>
        <w:rPr>
          <w:rFonts w:hint="default" w:ascii="宋体" w:hAnsi="宋体" w:eastAsia="宋体" w:cs="宋体"/>
          <w:sz w:val="28"/>
          <w:szCs w:val="28"/>
          <w:lang w:val="en-US" w:eastAsia="zh-CN"/>
        </w:rPr>
        <w:t>中规定的m级要求。</w:t>
      </w:r>
    </w:p>
    <w:p>
      <w:pPr>
        <w:numPr>
          <w:ilvl w:val="0"/>
          <w:numId w:val="0"/>
        </w:numPr>
        <w:ind w:firstLine="560" w:firstLineChars="200"/>
        <w:rPr>
          <w:rFonts w:hint="default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5.4</w:t>
      </w:r>
      <w:r>
        <w:rPr>
          <w:rFonts w:hint="default" w:ascii="宋体" w:hAnsi="宋体" w:eastAsia="宋体" w:cs="宋体"/>
          <w:sz w:val="28"/>
          <w:szCs w:val="28"/>
          <w:lang w:val="en-US" w:eastAsia="zh-CN"/>
        </w:rPr>
        <w:t>未注公差值的形位公差应符合</w:t>
      </w:r>
      <w:r>
        <w:rPr>
          <w:rFonts w:hint="default" w:ascii="宋体" w:hAnsi="宋体" w:eastAsia="宋体" w:cs="宋体"/>
          <w:sz w:val="28"/>
          <w:szCs w:val="28"/>
          <w:highlight w:val="none"/>
          <w:lang w:val="en-US" w:eastAsia="zh-CN"/>
        </w:rPr>
        <w:t>GB/T 1184-1996</w:t>
      </w:r>
      <w:r>
        <w:rPr>
          <w:rFonts w:hint="default" w:ascii="宋体" w:hAnsi="宋体" w:eastAsia="宋体" w:cs="宋体"/>
          <w:sz w:val="28"/>
          <w:szCs w:val="28"/>
          <w:lang w:val="en-US" w:eastAsia="zh-CN"/>
        </w:rPr>
        <w:t>中规定的K级要求。</w:t>
      </w:r>
    </w:p>
    <w:p>
      <w:pPr>
        <w:numPr>
          <w:ilvl w:val="0"/>
          <w:numId w:val="0"/>
        </w:numPr>
        <w:ind w:firstLine="560" w:firstLineChars="200"/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6.性能要求</w:t>
      </w:r>
    </w:p>
    <w:p>
      <w:pPr>
        <w:numPr>
          <w:ilvl w:val="0"/>
          <w:numId w:val="0"/>
        </w:numPr>
        <w:ind w:firstLine="560" w:firstLineChars="200"/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6.1抗拉拔性</w:t>
      </w:r>
    </w:p>
    <w:p>
      <w:pPr>
        <w:numPr>
          <w:ilvl w:val="0"/>
          <w:numId w:val="0"/>
        </w:numPr>
        <w:ind w:firstLine="560" w:firstLineChars="200"/>
        <w:rPr>
          <w:rFonts w:hint="default" w:ascii="宋体" w:hAnsi="宋体" w:eastAsia="宋体" w:cs="宋体"/>
          <w:sz w:val="28"/>
          <w:szCs w:val="28"/>
          <w:lang w:val="en-US" w:eastAsia="zh-CN"/>
        </w:rPr>
      </w:pPr>
      <w:r>
        <w:rPr>
          <w:rFonts w:hint="default" w:ascii="宋体" w:hAnsi="宋体" w:eastAsia="宋体" w:cs="宋体"/>
          <w:sz w:val="28"/>
          <w:szCs w:val="28"/>
          <w:lang w:val="en-US" w:eastAsia="zh-CN"/>
        </w:rPr>
        <w:t>常温下管接头与管材连接时，所能承受的拉拔力不应小于表</w:t>
      </w: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1</w:t>
      </w:r>
      <w:r>
        <w:rPr>
          <w:rFonts w:hint="default" w:ascii="宋体" w:hAnsi="宋体" w:eastAsia="宋体" w:cs="宋体"/>
          <w:sz w:val="28"/>
          <w:szCs w:val="28"/>
          <w:lang w:val="en-US" w:eastAsia="zh-CN"/>
        </w:rPr>
        <w:t>的规定，且至少在60 min内，连接部位应无松动，管接头任何零件应无裂缝或损坏。</w:t>
      </w:r>
    </w:p>
    <w:p>
      <w:pPr>
        <w:numPr>
          <w:ilvl w:val="0"/>
          <w:numId w:val="0"/>
        </w:numPr>
        <w:jc w:val="center"/>
        <w:rPr>
          <w:rFonts w:hint="default" w:ascii="宋体" w:hAnsi="宋体" w:eastAsia="宋体" w:cs="宋体"/>
          <w:sz w:val="24"/>
          <w:szCs w:val="24"/>
          <w:lang w:val="en-US" w:eastAsia="zh-CN"/>
        </w:rPr>
      </w:pPr>
      <w:r>
        <w:rPr>
          <w:rFonts w:hint="default" w:ascii="宋体" w:hAnsi="宋体" w:eastAsia="宋体" w:cs="宋体"/>
          <w:sz w:val="24"/>
          <w:szCs w:val="24"/>
          <w:lang w:val="en-US" w:eastAsia="zh-CN"/>
        </w:rPr>
        <w:t>表</w:t>
      </w: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1</w:t>
      </w:r>
      <w:r>
        <w:rPr>
          <w:rFonts w:hint="default" w:ascii="宋体" w:hAnsi="宋体" w:eastAsia="宋体" w:cs="宋体"/>
          <w:sz w:val="24"/>
          <w:szCs w:val="24"/>
          <w:lang w:val="en-US" w:eastAsia="zh-CN"/>
        </w:rPr>
        <w:t>管接头组件的最小拉拔力</w:t>
      </w:r>
    </w:p>
    <w:tbl>
      <w:tblPr>
        <w:tblStyle w:val="4"/>
        <w:tblW w:w="0" w:type="auto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FFFFFF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4145"/>
        <w:gridCol w:w="4171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FFFFFF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94" w:hRule="atLeast"/>
        </w:trPr>
        <w:tc>
          <w:tcPr>
            <w:tcW w:w="4145" w:type="dxa"/>
            <w:tcBorders>
              <w:top w:val="single" w:color="000000" w:sz="6" w:space="0"/>
              <w:left w:val="single" w:color="000000" w:sz="6" w:space="0"/>
            </w:tcBorders>
            <w:shd w:val="clear" w:color="auto" w:fill="FFFFFF"/>
            <w:noWrap w:val="0"/>
            <w:tcMar>
              <w:left w:w="2" w:type="dxa"/>
              <w:right w:w="10" w:type="dxa"/>
            </w:tcMar>
            <w:vAlign w:val="center"/>
          </w:tcPr>
          <w:p>
            <w:pPr>
              <w:numPr>
                <w:ilvl w:val="0"/>
                <w:numId w:val="0"/>
              </w:numPr>
              <w:jc w:val="center"/>
              <w:rPr>
                <w:rFonts w:hint="default" w:ascii="宋体" w:hAnsi="宋体" w:eastAsia="宋体" w:cs="宋体"/>
                <w:sz w:val="24"/>
                <w:szCs w:val="24"/>
                <w:lang w:val="en-US" w:eastAsia="zh-CN"/>
              </w:rPr>
            </w:pPr>
            <w:r>
              <w:rPr>
                <w:rFonts w:hint="default" w:ascii="宋体" w:hAnsi="宋体" w:eastAsia="宋体" w:cs="宋体"/>
                <w:sz w:val="24"/>
                <w:szCs w:val="24"/>
                <w:lang w:val="en-US" w:eastAsia="zh-CN"/>
              </w:rPr>
              <w:t>公称尺寸mm</w:t>
            </w:r>
          </w:p>
        </w:tc>
        <w:tc>
          <w:tcPr>
            <w:tcW w:w="4171" w:type="dxa"/>
            <w:tcBorders>
              <w:top w:val="single" w:color="000000" w:sz="6" w:space="0"/>
              <w:left w:val="single" w:color="000000" w:sz="6" w:space="0"/>
              <w:right w:val="single" w:color="000000" w:sz="6" w:space="0"/>
            </w:tcBorders>
            <w:shd w:val="clear" w:color="auto" w:fill="FFFFFF"/>
            <w:noWrap w:val="0"/>
            <w:tcMar>
              <w:left w:w="2" w:type="dxa"/>
              <w:right w:w="2" w:type="dxa"/>
            </w:tcMar>
            <w:vAlign w:val="center"/>
          </w:tcPr>
          <w:p>
            <w:pPr>
              <w:numPr>
                <w:ilvl w:val="0"/>
                <w:numId w:val="0"/>
              </w:numPr>
              <w:jc w:val="center"/>
              <w:rPr>
                <w:rFonts w:hint="default" w:ascii="宋体" w:hAnsi="宋体" w:eastAsia="宋体" w:cs="宋体"/>
                <w:sz w:val="24"/>
                <w:szCs w:val="24"/>
                <w:lang w:val="en-US" w:eastAsia="zh-CN"/>
              </w:rPr>
            </w:pPr>
            <w:r>
              <w:rPr>
                <w:rFonts w:hint="default" w:ascii="宋体" w:hAnsi="宋体" w:eastAsia="宋体" w:cs="宋体"/>
                <w:sz w:val="24"/>
                <w:szCs w:val="24"/>
                <w:lang w:val="en-US" w:eastAsia="zh-CN"/>
              </w:rPr>
              <w:t>最小拉拔力N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6" w:hRule="atLeast"/>
        </w:trPr>
        <w:tc>
          <w:tcPr>
            <w:tcW w:w="4145" w:type="dxa"/>
            <w:tcBorders>
              <w:top w:val="single" w:color="000000" w:sz="6" w:space="0"/>
              <w:left w:val="single" w:color="000000" w:sz="6" w:space="0"/>
            </w:tcBorders>
            <w:shd w:val="clear" w:color="auto" w:fill="FFFFFF"/>
            <w:noWrap w:val="0"/>
            <w:tcMar>
              <w:left w:w="2" w:type="dxa"/>
              <w:right w:w="10" w:type="dxa"/>
            </w:tcMar>
            <w:vAlign w:val="center"/>
          </w:tcPr>
          <w:p>
            <w:pPr>
              <w:numPr>
                <w:ilvl w:val="0"/>
                <w:numId w:val="0"/>
              </w:numPr>
              <w:jc w:val="center"/>
              <w:rPr>
                <w:rFonts w:hint="default" w:ascii="宋体" w:hAnsi="宋体" w:eastAsia="宋体" w:cs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≤</w:t>
            </w:r>
            <w:r>
              <w:rPr>
                <w:rFonts w:hint="default" w:ascii="宋体" w:hAnsi="宋体" w:eastAsia="宋体" w:cs="宋体"/>
                <w:sz w:val="24"/>
                <w:szCs w:val="24"/>
                <w:lang w:val="en-US" w:eastAsia="zh-CN"/>
              </w:rPr>
              <w:t>20</w:t>
            </w:r>
          </w:p>
        </w:tc>
        <w:tc>
          <w:tcPr>
            <w:tcW w:w="4171" w:type="dxa"/>
            <w:tcBorders>
              <w:top w:val="single" w:color="000000" w:sz="6" w:space="0"/>
              <w:left w:val="single" w:color="000000" w:sz="6" w:space="0"/>
              <w:right w:val="single" w:color="000000" w:sz="6" w:space="0"/>
            </w:tcBorders>
            <w:shd w:val="clear" w:color="auto" w:fill="FFFFFF"/>
            <w:noWrap w:val="0"/>
            <w:tcMar>
              <w:left w:w="2" w:type="dxa"/>
              <w:right w:w="2" w:type="dxa"/>
            </w:tcMar>
            <w:vAlign w:val="center"/>
          </w:tcPr>
          <w:p>
            <w:pPr>
              <w:numPr>
                <w:ilvl w:val="0"/>
                <w:numId w:val="0"/>
              </w:numPr>
              <w:jc w:val="center"/>
              <w:rPr>
                <w:rFonts w:hint="default" w:ascii="宋体" w:hAnsi="宋体" w:eastAsia="宋体" w:cs="宋体"/>
                <w:sz w:val="24"/>
                <w:szCs w:val="24"/>
                <w:lang w:val="en-US" w:eastAsia="zh-CN"/>
              </w:rPr>
            </w:pPr>
            <w:r>
              <w:rPr>
                <w:rFonts w:hint="default" w:ascii="宋体" w:hAnsi="宋体" w:eastAsia="宋体" w:cs="宋体"/>
                <w:sz w:val="24"/>
                <w:szCs w:val="24"/>
                <w:lang w:val="en-US" w:eastAsia="zh-CN"/>
              </w:rPr>
              <w:t>2 400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FFFFFF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97" w:hRule="atLeast"/>
        </w:trPr>
        <w:tc>
          <w:tcPr>
            <w:tcW w:w="4145" w:type="dxa"/>
            <w:tcBorders>
              <w:top w:val="single" w:color="000000" w:sz="6" w:space="0"/>
              <w:left w:val="single" w:color="000000" w:sz="6" w:space="0"/>
            </w:tcBorders>
            <w:shd w:val="clear" w:color="auto" w:fill="FFFFFF"/>
            <w:noWrap w:val="0"/>
            <w:tcMar>
              <w:left w:w="2" w:type="dxa"/>
              <w:right w:w="10" w:type="dxa"/>
            </w:tcMar>
            <w:vAlign w:val="center"/>
          </w:tcPr>
          <w:p>
            <w:pPr>
              <w:numPr>
                <w:ilvl w:val="0"/>
                <w:numId w:val="0"/>
              </w:numPr>
              <w:jc w:val="center"/>
              <w:rPr>
                <w:rFonts w:hint="default" w:ascii="宋体" w:hAnsi="宋体" w:eastAsia="宋体" w:cs="宋体"/>
                <w:sz w:val="24"/>
                <w:szCs w:val="24"/>
                <w:lang w:val="en-US" w:eastAsia="zh-CN"/>
              </w:rPr>
            </w:pPr>
            <w:r>
              <w:rPr>
                <w:rFonts w:hint="default" w:ascii="宋体" w:hAnsi="宋体" w:eastAsia="宋体" w:cs="宋体"/>
                <w:sz w:val="24"/>
                <w:szCs w:val="24"/>
                <w:lang w:val="en-US" w:eastAsia="zh-CN"/>
              </w:rPr>
              <w:t>25</w:t>
            </w:r>
          </w:p>
        </w:tc>
        <w:tc>
          <w:tcPr>
            <w:tcW w:w="4171" w:type="dxa"/>
            <w:tcBorders>
              <w:top w:val="single" w:color="000000" w:sz="6" w:space="0"/>
              <w:left w:val="single" w:color="000000" w:sz="6" w:space="0"/>
              <w:right w:val="single" w:color="000000" w:sz="6" w:space="0"/>
            </w:tcBorders>
            <w:shd w:val="clear" w:color="auto" w:fill="FFFFFF"/>
            <w:noWrap w:val="0"/>
            <w:tcMar>
              <w:left w:w="2" w:type="dxa"/>
              <w:right w:w="2" w:type="dxa"/>
            </w:tcMar>
            <w:vAlign w:val="center"/>
          </w:tcPr>
          <w:p>
            <w:pPr>
              <w:numPr>
                <w:ilvl w:val="0"/>
                <w:numId w:val="0"/>
              </w:numPr>
              <w:jc w:val="center"/>
              <w:rPr>
                <w:rFonts w:hint="default" w:ascii="宋体" w:hAnsi="宋体" w:eastAsia="宋体" w:cs="宋体"/>
                <w:sz w:val="24"/>
                <w:szCs w:val="24"/>
                <w:lang w:val="en-US" w:eastAsia="zh-CN"/>
              </w:rPr>
            </w:pPr>
            <w:r>
              <w:rPr>
                <w:rFonts w:hint="default" w:ascii="宋体" w:hAnsi="宋体" w:eastAsia="宋体" w:cs="宋体"/>
                <w:sz w:val="24"/>
                <w:szCs w:val="24"/>
                <w:lang w:val="en-US" w:eastAsia="zh-CN"/>
              </w:rPr>
              <w:t>3 100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FFFFFF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5" w:hRule="atLeast"/>
        </w:trPr>
        <w:tc>
          <w:tcPr>
            <w:tcW w:w="414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</w:tcBorders>
            <w:shd w:val="clear" w:color="auto" w:fill="FFFFFF"/>
            <w:noWrap w:val="0"/>
            <w:tcMar>
              <w:left w:w="2" w:type="dxa"/>
              <w:right w:w="10" w:type="dxa"/>
            </w:tcMar>
            <w:vAlign w:val="center"/>
          </w:tcPr>
          <w:p>
            <w:pPr>
              <w:numPr>
                <w:ilvl w:val="0"/>
                <w:numId w:val="0"/>
              </w:numPr>
              <w:jc w:val="center"/>
              <w:rPr>
                <w:rFonts w:hint="default" w:ascii="宋体" w:hAnsi="宋体" w:eastAsia="宋体" w:cs="宋体"/>
                <w:sz w:val="24"/>
                <w:szCs w:val="24"/>
                <w:lang w:val="en-US" w:eastAsia="zh-CN"/>
              </w:rPr>
            </w:pPr>
            <w:r>
              <w:rPr>
                <w:rFonts w:hint="default" w:ascii="宋体" w:hAnsi="宋体" w:eastAsia="宋体" w:cs="宋体"/>
                <w:sz w:val="24"/>
                <w:szCs w:val="24"/>
                <w:lang w:val="en-US" w:eastAsia="zh-CN"/>
              </w:rPr>
              <w:t>32</w:t>
            </w:r>
          </w:p>
        </w:tc>
        <w:tc>
          <w:tcPr>
            <w:tcW w:w="4171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noWrap w:val="0"/>
            <w:tcMar>
              <w:left w:w="2" w:type="dxa"/>
              <w:right w:w="2" w:type="dxa"/>
            </w:tcMar>
            <w:vAlign w:val="center"/>
          </w:tcPr>
          <w:p>
            <w:pPr>
              <w:numPr>
                <w:ilvl w:val="0"/>
                <w:numId w:val="0"/>
              </w:numPr>
              <w:jc w:val="center"/>
              <w:rPr>
                <w:rFonts w:hint="default" w:ascii="宋体" w:hAnsi="宋体" w:eastAsia="宋体" w:cs="宋体"/>
                <w:sz w:val="24"/>
                <w:szCs w:val="24"/>
                <w:lang w:val="en-US" w:eastAsia="zh-CN"/>
              </w:rPr>
            </w:pPr>
            <w:r>
              <w:rPr>
                <w:rFonts w:hint="default" w:ascii="宋体" w:hAnsi="宋体" w:eastAsia="宋体" w:cs="宋体"/>
                <w:sz w:val="24"/>
                <w:szCs w:val="24"/>
                <w:lang w:val="en-US" w:eastAsia="zh-CN"/>
              </w:rPr>
              <w:t>4 300</w:t>
            </w:r>
          </w:p>
        </w:tc>
      </w:tr>
    </w:tbl>
    <w:p>
      <w:pPr>
        <w:numPr>
          <w:ilvl w:val="0"/>
          <w:numId w:val="0"/>
        </w:numPr>
        <w:ind w:firstLine="560" w:firstLineChars="200"/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6.2气密性</w:t>
      </w:r>
    </w:p>
    <w:p>
      <w:pPr>
        <w:numPr>
          <w:ilvl w:val="0"/>
          <w:numId w:val="0"/>
        </w:numPr>
        <w:ind w:firstLine="560" w:firstLineChars="200"/>
        <w:rPr>
          <w:rFonts w:hint="default" w:ascii="宋体" w:hAnsi="宋体" w:eastAsia="宋体" w:cs="宋体"/>
          <w:sz w:val="28"/>
          <w:szCs w:val="28"/>
          <w:lang w:val="en-US" w:eastAsia="zh-CN"/>
        </w:rPr>
      </w:pPr>
      <w:r>
        <w:rPr>
          <w:rFonts w:hint="default" w:ascii="宋体" w:hAnsi="宋体" w:eastAsia="宋体" w:cs="宋体"/>
          <w:sz w:val="28"/>
          <w:szCs w:val="28"/>
          <w:lang w:val="en-US" w:eastAsia="zh-CN"/>
        </w:rPr>
        <w:t>常温下，管接头在</w:t>
      </w: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0.6</w:t>
      </w:r>
      <w:r>
        <w:rPr>
          <w:rFonts w:hint="default" w:ascii="宋体" w:hAnsi="宋体" w:eastAsia="宋体" w:cs="宋体"/>
          <w:sz w:val="28"/>
          <w:szCs w:val="28"/>
          <w:lang w:val="en-US" w:eastAsia="zh-CN"/>
        </w:rPr>
        <w:t>MPa压缩空气的内压下保压3 min，不得出现泄漏。</w:t>
      </w:r>
    </w:p>
    <w:p>
      <w:pPr>
        <w:numPr>
          <w:ilvl w:val="0"/>
          <w:numId w:val="0"/>
        </w:numPr>
        <w:ind w:firstLine="560" w:firstLineChars="200"/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6.3静液压强度</w:t>
      </w:r>
    </w:p>
    <w:p>
      <w:pPr>
        <w:numPr>
          <w:ilvl w:val="0"/>
          <w:numId w:val="0"/>
        </w:numPr>
        <w:ind w:firstLine="560" w:firstLineChars="200"/>
        <w:rPr>
          <w:rFonts w:hint="default" w:ascii="宋体" w:hAnsi="宋体" w:eastAsia="宋体" w:cs="宋体"/>
          <w:sz w:val="28"/>
          <w:szCs w:val="28"/>
          <w:lang w:val="en-US" w:eastAsia="zh-CN"/>
        </w:rPr>
      </w:pPr>
      <w:r>
        <w:rPr>
          <w:rFonts w:hint="default" w:ascii="宋体" w:hAnsi="宋体" w:eastAsia="宋体" w:cs="宋体"/>
          <w:sz w:val="28"/>
          <w:szCs w:val="28"/>
          <w:lang w:val="en-US" w:eastAsia="zh-CN"/>
        </w:rPr>
        <w:t>管接头按表</w:t>
      </w: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2</w:t>
      </w:r>
      <w:r>
        <w:rPr>
          <w:rFonts w:hint="default" w:ascii="宋体" w:hAnsi="宋体" w:eastAsia="宋体" w:cs="宋体"/>
          <w:sz w:val="28"/>
          <w:szCs w:val="28"/>
          <w:lang w:val="en-US" w:eastAsia="zh-CN"/>
        </w:rPr>
        <w:t>中的规定做静液压强度时，零件不应损坏和变形，并不得泄漏。</w:t>
      </w:r>
    </w:p>
    <w:p>
      <w:pPr>
        <w:numPr>
          <w:ilvl w:val="0"/>
          <w:numId w:val="0"/>
        </w:numPr>
        <w:jc w:val="center"/>
        <w:rPr>
          <w:rFonts w:hint="default" w:ascii="宋体" w:hAnsi="宋体" w:eastAsia="宋体" w:cs="宋体"/>
          <w:sz w:val="24"/>
          <w:szCs w:val="24"/>
          <w:lang w:val="en-US" w:eastAsia="zh-CN"/>
        </w:rPr>
      </w:pPr>
      <w:r>
        <w:rPr>
          <w:rFonts w:hint="default" w:ascii="宋体" w:hAnsi="宋体" w:eastAsia="宋体" w:cs="宋体"/>
          <w:sz w:val="24"/>
          <w:szCs w:val="24"/>
          <w:lang w:val="en-US" w:eastAsia="zh-CN"/>
        </w:rPr>
        <w:t>表</w:t>
      </w: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2</w:t>
      </w:r>
      <w:r>
        <w:rPr>
          <w:rFonts w:hint="default" w:ascii="宋体" w:hAnsi="宋体" w:eastAsia="宋体" w:cs="宋体"/>
          <w:sz w:val="24"/>
          <w:szCs w:val="24"/>
          <w:lang w:val="en-US" w:eastAsia="zh-CN"/>
        </w:rPr>
        <w:t>静液压强度要求</w:t>
      </w:r>
    </w:p>
    <w:tbl>
      <w:tblPr>
        <w:tblStyle w:val="4"/>
        <w:tblW w:w="0" w:type="auto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FFFFFF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2067"/>
        <w:gridCol w:w="2334"/>
        <w:gridCol w:w="2205"/>
        <w:gridCol w:w="1710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FFFFFF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84" w:hRule="atLeast"/>
        </w:trPr>
        <w:tc>
          <w:tcPr>
            <w:tcW w:w="2149" w:type="dxa"/>
            <w:tcBorders>
              <w:top w:val="single" w:color="000000" w:sz="6" w:space="0"/>
              <w:left w:val="single" w:color="000000" w:sz="6" w:space="0"/>
            </w:tcBorders>
            <w:shd w:val="clear" w:color="auto" w:fill="FFFFFF"/>
            <w:noWrap w:val="0"/>
            <w:tcMar>
              <w:left w:w="2" w:type="dxa"/>
              <w:right w:w="10" w:type="dxa"/>
            </w:tcMar>
            <w:vAlign w:val="center"/>
          </w:tcPr>
          <w:p>
            <w:pPr>
              <w:numPr>
                <w:ilvl w:val="0"/>
                <w:numId w:val="0"/>
              </w:numPr>
              <w:jc w:val="center"/>
              <w:rPr>
                <w:rFonts w:hint="default" w:ascii="宋体" w:hAnsi="宋体" w:eastAsia="宋体" w:cs="宋体"/>
                <w:sz w:val="24"/>
                <w:szCs w:val="24"/>
                <w:lang w:val="en-US" w:eastAsia="zh-CN"/>
              </w:rPr>
            </w:pPr>
            <w:r>
              <w:rPr>
                <w:rFonts w:hint="default" w:ascii="宋体" w:hAnsi="宋体" w:eastAsia="宋体" w:cs="宋体"/>
                <w:sz w:val="24"/>
                <w:szCs w:val="24"/>
                <w:lang w:val="en-US" w:eastAsia="zh-CN"/>
              </w:rPr>
              <w:t>用途</w:t>
            </w:r>
          </w:p>
        </w:tc>
        <w:tc>
          <w:tcPr>
            <w:tcW w:w="2412" w:type="dxa"/>
            <w:tcBorders>
              <w:top w:val="single" w:color="000000" w:sz="6" w:space="0"/>
              <w:left w:val="single" w:color="000000" w:sz="6" w:space="0"/>
            </w:tcBorders>
            <w:shd w:val="clear" w:color="auto" w:fill="FFFFFF"/>
            <w:noWrap w:val="0"/>
            <w:tcMar>
              <w:left w:w="2" w:type="dxa"/>
              <w:right w:w="10" w:type="dxa"/>
            </w:tcMar>
            <w:vAlign w:val="center"/>
          </w:tcPr>
          <w:p>
            <w:pPr>
              <w:numPr>
                <w:ilvl w:val="0"/>
                <w:numId w:val="0"/>
              </w:numPr>
              <w:jc w:val="center"/>
              <w:rPr>
                <w:rFonts w:hint="default" w:ascii="宋体" w:hAnsi="宋体" w:eastAsia="宋体" w:cs="宋体"/>
                <w:sz w:val="24"/>
                <w:szCs w:val="24"/>
                <w:lang w:val="en-US" w:eastAsia="zh-CN"/>
              </w:rPr>
            </w:pPr>
            <w:r>
              <w:rPr>
                <w:rFonts w:hint="default" w:ascii="宋体" w:hAnsi="宋体" w:eastAsia="宋体" w:cs="宋体"/>
                <w:sz w:val="24"/>
                <w:szCs w:val="24"/>
                <w:lang w:val="en-US" w:eastAsia="zh-CN"/>
              </w:rPr>
              <w:t>试验介质温度°C</w:t>
            </w:r>
          </w:p>
        </w:tc>
        <w:tc>
          <w:tcPr>
            <w:tcW w:w="2250" w:type="dxa"/>
            <w:tcBorders>
              <w:top w:val="single" w:color="000000" w:sz="6" w:space="0"/>
              <w:left w:val="single" w:color="000000" w:sz="6" w:space="0"/>
            </w:tcBorders>
            <w:shd w:val="clear" w:color="auto" w:fill="FFFFFF"/>
            <w:noWrap w:val="0"/>
            <w:tcMar>
              <w:left w:w="2" w:type="dxa"/>
              <w:right w:w="10" w:type="dxa"/>
            </w:tcMar>
            <w:vAlign w:val="center"/>
          </w:tcPr>
          <w:p>
            <w:pPr>
              <w:numPr>
                <w:ilvl w:val="0"/>
                <w:numId w:val="0"/>
              </w:numPr>
              <w:jc w:val="center"/>
              <w:rPr>
                <w:rFonts w:hint="default" w:ascii="宋体" w:hAnsi="宋体" w:eastAsia="宋体" w:cs="宋体"/>
                <w:sz w:val="24"/>
                <w:szCs w:val="24"/>
                <w:lang w:val="en-US" w:eastAsia="zh-CN"/>
              </w:rPr>
            </w:pPr>
            <w:r>
              <w:rPr>
                <w:rFonts w:hint="default" w:ascii="宋体" w:hAnsi="宋体" w:eastAsia="宋体" w:cs="宋体"/>
                <w:sz w:val="24"/>
                <w:szCs w:val="24"/>
                <w:lang w:val="en-US" w:eastAsia="zh-CN"/>
              </w:rPr>
              <w:t>静液压强度MPa</w:t>
            </w:r>
          </w:p>
        </w:tc>
        <w:tc>
          <w:tcPr>
            <w:tcW w:w="1776" w:type="dxa"/>
            <w:tcBorders>
              <w:top w:val="single" w:color="000000" w:sz="6" w:space="0"/>
              <w:left w:val="single" w:color="000000" w:sz="6" w:space="0"/>
              <w:right w:val="single" w:color="000000" w:sz="6" w:space="0"/>
            </w:tcBorders>
            <w:shd w:val="clear" w:color="auto" w:fill="FFFFFF"/>
            <w:noWrap w:val="0"/>
            <w:tcMar>
              <w:left w:w="2" w:type="dxa"/>
              <w:right w:w="2" w:type="dxa"/>
            </w:tcMar>
            <w:vAlign w:val="center"/>
          </w:tcPr>
          <w:p>
            <w:pPr>
              <w:numPr>
                <w:ilvl w:val="0"/>
                <w:numId w:val="0"/>
              </w:numPr>
              <w:jc w:val="center"/>
              <w:rPr>
                <w:rFonts w:hint="default" w:ascii="宋体" w:hAnsi="宋体" w:eastAsia="宋体" w:cs="宋体"/>
                <w:sz w:val="24"/>
                <w:szCs w:val="24"/>
                <w:lang w:val="en-US" w:eastAsia="zh-CN"/>
              </w:rPr>
            </w:pPr>
            <w:r>
              <w:rPr>
                <w:rFonts w:hint="default" w:ascii="宋体" w:hAnsi="宋体" w:eastAsia="宋体" w:cs="宋体"/>
                <w:sz w:val="24"/>
                <w:szCs w:val="24"/>
                <w:lang w:val="en-US" w:eastAsia="zh-CN"/>
              </w:rPr>
              <w:t>试验时间h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2" w:hRule="atLeast"/>
        </w:trPr>
        <w:tc>
          <w:tcPr>
            <w:tcW w:w="214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</w:tcBorders>
            <w:shd w:val="clear" w:color="auto" w:fill="FFFFFF"/>
            <w:noWrap w:val="0"/>
            <w:tcMar>
              <w:left w:w="2" w:type="dxa"/>
              <w:right w:w="10" w:type="dxa"/>
            </w:tcMar>
            <w:vAlign w:val="center"/>
          </w:tcPr>
          <w:p>
            <w:pPr>
              <w:numPr>
                <w:ilvl w:val="0"/>
                <w:numId w:val="0"/>
              </w:numPr>
              <w:jc w:val="center"/>
              <w:rPr>
                <w:rFonts w:hint="default" w:ascii="宋体" w:hAnsi="宋体" w:eastAsia="宋体" w:cs="宋体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default" w:ascii="宋体" w:hAnsi="宋体" w:eastAsia="宋体" w:cs="宋体"/>
                <w:sz w:val="24"/>
                <w:szCs w:val="24"/>
                <w:u w:val="none"/>
                <w:lang w:val="en-US" w:eastAsia="zh-CN"/>
              </w:rPr>
              <w:t>冷水</w:t>
            </w:r>
          </w:p>
        </w:tc>
        <w:tc>
          <w:tcPr>
            <w:tcW w:w="2412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</w:tcBorders>
            <w:shd w:val="clear" w:color="auto" w:fill="FFFFFF"/>
            <w:noWrap w:val="0"/>
            <w:tcMar>
              <w:left w:w="2" w:type="dxa"/>
              <w:right w:w="10" w:type="dxa"/>
            </w:tcMar>
            <w:vAlign w:val="center"/>
          </w:tcPr>
          <w:p>
            <w:pPr>
              <w:numPr>
                <w:ilvl w:val="0"/>
                <w:numId w:val="0"/>
              </w:numPr>
              <w:jc w:val="center"/>
              <w:rPr>
                <w:rFonts w:hint="default" w:ascii="宋体" w:hAnsi="宋体" w:eastAsia="宋体" w:cs="宋体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default" w:ascii="宋体" w:hAnsi="宋体" w:eastAsia="宋体" w:cs="宋体"/>
                <w:sz w:val="24"/>
                <w:szCs w:val="24"/>
                <w:u w:val="none"/>
                <w:lang w:val="en-US" w:eastAsia="zh-CN"/>
              </w:rPr>
              <w:t>60±2</w:t>
            </w:r>
          </w:p>
        </w:tc>
        <w:tc>
          <w:tcPr>
            <w:tcW w:w="225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</w:tcBorders>
            <w:shd w:val="clear" w:color="auto" w:fill="FFFFFF"/>
            <w:noWrap w:val="0"/>
            <w:tcMar>
              <w:left w:w="2" w:type="dxa"/>
              <w:right w:w="10" w:type="dxa"/>
            </w:tcMar>
            <w:vAlign w:val="center"/>
          </w:tcPr>
          <w:p>
            <w:pPr>
              <w:numPr>
                <w:ilvl w:val="0"/>
                <w:numId w:val="0"/>
              </w:numPr>
              <w:jc w:val="center"/>
              <w:rPr>
                <w:rFonts w:hint="default" w:ascii="宋体" w:hAnsi="宋体" w:eastAsia="宋体" w:cs="宋体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default" w:ascii="宋体" w:hAnsi="宋体" w:eastAsia="宋体" w:cs="宋体"/>
                <w:sz w:val="24"/>
                <w:szCs w:val="24"/>
                <w:u w:val="none"/>
                <w:lang w:val="en-US" w:eastAsia="zh-CN"/>
              </w:rPr>
              <w:t>2.48±0.07</w:t>
            </w:r>
          </w:p>
        </w:tc>
        <w:tc>
          <w:tcPr>
            <w:tcW w:w="177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noWrap w:val="0"/>
            <w:tcMar>
              <w:left w:w="2" w:type="dxa"/>
              <w:right w:w="2" w:type="dxa"/>
            </w:tcMar>
            <w:vAlign w:val="bottom"/>
          </w:tcPr>
          <w:p>
            <w:pPr>
              <w:numPr>
                <w:ilvl w:val="0"/>
                <w:numId w:val="0"/>
              </w:numPr>
              <w:jc w:val="center"/>
              <w:rPr>
                <w:rFonts w:hint="default" w:ascii="宋体" w:hAnsi="宋体" w:eastAsia="宋体" w:cs="宋体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default" w:ascii="宋体" w:hAnsi="宋体" w:eastAsia="宋体" w:cs="宋体"/>
                <w:sz w:val="24"/>
                <w:szCs w:val="24"/>
                <w:u w:val="none"/>
                <w:lang w:val="en-US" w:eastAsia="zh-CN"/>
              </w:rPr>
              <w:t>10</w:t>
            </w:r>
          </w:p>
        </w:tc>
      </w:tr>
    </w:tbl>
    <w:p>
      <w:pPr>
        <w:numPr>
          <w:ilvl w:val="0"/>
          <w:numId w:val="0"/>
        </w:numPr>
        <w:ind w:firstLine="560" w:firstLineChars="200"/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6.</w:t>
      </w:r>
      <w:r>
        <w:rPr>
          <w:rFonts w:hint="eastAsia" w:ascii="宋体" w:hAnsi="宋体" w:cs="宋体"/>
          <w:sz w:val="28"/>
          <w:szCs w:val="28"/>
          <w:lang w:val="en-US" w:eastAsia="zh-CN"/>
        </w:rPr>
        <w:t>4</w:t>
      </w: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液压爆破强度</w:t>
      </w:r>
    </w:p>
    <w:p>
      <w:pPr>
        <w:numPr>
          <w:ilvl w:val="0"/>
          <w:numId w:val="0"/>
        </w:numPr>
        <w:ind w:firstLine="560" w:firstLineChars="200"/>
        <w:rPr>
          <w:rFonts w:hint="default" w:ascii="宋体" w:hAnsi="宋体" w:eastAsia="宋体" w:cs="宋体"/>
          <w:sz w:val="28"/>
          <w:szCs w:val="28"/>
          <w:lang w:val="en-US" w:eastAsia="zh-CN"/>
        </w:rPr>
      </w:pPr>
      <w:r>
        <w:rPr>
          <w:rFonts w:hint="default" w:ascii="宋体" w:hAnsi="宋体" w:eastAsia="宋体" w:cs="宋体"/>
          <w:sz w:val="28"/>
          <w:szCs w:val="28"/>
          <w:lang w:val="en-US" w:eastAsia="zh-CN"/>
        </w:rPr>
        <w:t>管接头应符合表</w:t>
      </w: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3</w:t>
      </w:r>
      <w:r>
        <w:rPr>
          <w:rFonts w:hint="default" w:ascii="宋体" w:hAnsi="宋体" w:eastAsia="宋体" w:cs="宋体"/>
          <w:sz w:val="28"/>
          <w:szCs w:val="28"/>
          <w:lang w:val="en-US" w:eastAsia="zh-CN"/>
        </w:rPr>
        <w:t>所规定的最低液压爆破强度要求，试验时间60 s时，管接头不应破裂。</w:t>
      </w:r>
    </w:p>
    <w:p>
      <w:pPr>
        <w:numPr>
          <w:ilvl w:val="0"/>
          <w:numId w:val="0"/>
        </w:numPr>
        <w:ind w:firstLine="480" w:firstLineChars="200"/>
        <w:jc w:val="center"/>
        <w:rPr>
          <w:rFonts w:hint="default" w:ascii="宋体" w:hAnsi="宋体" w:eastAsia="宋体" w:cs="宋体"/>
          <w:sz w:val="24"/>
          <w:szCs w:val="24"/>
          <w:lang w:val="en-US" w:eastAsia="zh-CN"/>
        </w:rPr>
      </w:pPr>
      <w:r>
        <w:rPr>
          <w:rFonts w:hint="default" w:ascii="宋体" w:hAnsi="宋体" w:eastAsia="宋体" w:cs="宋体"/>
          <w:sz w:val="24"/>
          <w:szCs w:val="24"/>
          <w:lang w:val="en-US" w:eastAsia="zh-CN"/>
        </w:rPr>
        <w:t>表</w:t>
      </w: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3</w:t>
      </w:r>
      <w:r>
        <w:rPr>
          <w:rFonts w:hint="default" w:ascii="宋体" w:hAnsi="宋体" w:eastAsia="宋体" w:cs="宋体"/>
          <w:sz w:val="24"/>
          <w:szCs w:val="24"/>
          <w:lang w:val="en-US" w:eastAsia="zh-CN"/>
        </w:rPr>
        <w:t>管接头组件最低液压爆破强度</w:t>
      </w:r>
    </w:p>
    <w:tbl>
      <w:tblPr>
        <w:tblStyle w:val="4"/>
        <w:tblW w:w="0" w:type="auto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FFFFFF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2566"/>
        <w:gridCol w:w="1035"/>
        <w:gridCol w:w="930"/>
        <w:gridCol w:w="1147"/>
        <w:gridCol w:w="1302"/>
        <w:gridCol w:w="1336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84" w:hRule="atLeast"/>
        </w:trPr>
        <w:tc>
          <w:tcPr>
            <w:tcW w:w="2566" w:type="dxa"/>
            <w:tcBorders>
              <w:top w:val="single" w:color="000000" w:sz="6" w:space="0"/>
              <w:left w:val="single" w:color="000000" w:sz="6" w:space="0"/>
            </w:tcBorders>
            <w:shd w:val="clear" w:color="auto" w:fill="FFFFFF"/>
            <w:noWrap w:val="0"/>
            <w:tcMar>
              <w:left w:w="2" w:type="dxa"/>
              <w:right w:w="10" w:type="dxa"/>
            </w:tcMar>
            <w:vAlign w:val="center"/>
          </w:tcPr>
          <w:p>
            <w:pPr>
              <w:numPr>
                <w:ilvl w:val="0"/>
                <w:numId w:val="0"/>
              </w:numPr>
              <w:jc w:val="center"/>
              <w:rPr>
                <w:rFonts w:hint="default" w:ascii="宋体" w:hAnsi="宋体" w:eastAsia="宋体" w:cs="宋体"/>
                <w:sz w:val="24"/>
                <w:szCs w:val="24"/>
                <w:lang w:val="en-US" w:eastAsia="zh-CN"/>
              </w:rPr>
            </w:pPr>
            <w:r>
              <w:rPr>
                <w:rFonts w:hint="default" w:ascii="宋体" w:hAnsi="宋体" w:eastAsia="宋体" w:cs="宋体"/>
                <w:sz w:val="24"/>
                <w:szCs w:val="24"/>
                <w:lang w:val="en-US" w:eastAsia="zh-CN"/>
              </w:rPr>
              <w:t>公称尺寸mm</w:t>
            </w:r>
          </w:p>
        </w:tc>
        <w:tc>
          <w:tcPr>
            <w:tcW w:w="1035" w:type="dxa"/>
            <w:tcBorders>
              <w:top w:val="single" w:color="000000" w:sz="6" w:space="0"/>
              <w:left w:val="single" w:color="000000" w:sz="6" w:space="0"/>
            </w:tcBorders>
            <w:shd w:val="clear" w:color="auto" w:fill="FFFFFF"/>
            <w:noWrap w:val="0"/>
            <w:tcMar>
              <w:left w:w="2" w:type="dxa"/>
              <w:right w:w="10" w:type="dxa"/>
            </w:tcMar>
            <w:vAlign w:val="center"/>
          </w:tcPr>
          <w:p>
            <w:pPr>
              <w:numPr>
                <w:ilvl w:val="0"/>
                <w:numId w:val="0"/>
              </w:numPr>
              <w:jc w:val="center"/>
              <w:rPr>
                <w:rFonts w:hint="default" w:ascii="宋体" w:hAnsi="宋体" w:eastAsia="宋体" w:cs="宋体"/>
                <w:sz w:val="24"/>
                <w:szCs w:val="24"/>
                <w:lang w:val="en-US" w:eastAsia="zh-CN"/>
              </w:rPr>
            </w:pPr>
            <w:r>
              <w:rPr>
                <w:rFonts w:hint="default" w:ascii="宋体" w:hAnsi="宋体" w:eastAsia="宋体" w:cs="宋体"/>
                <w:sz w:val="24"/>
                <w:szCs w:val="24"/>
                <w:lang w:val="en-US" w:eastAsia="zh-CN"/>
              </w:rPr>
              <w:t>12</w:t>
            </w:r>
          </w:p>
        </w:tc>
        <w:tc>
          <w:tcPr>
            <w:tcW w:w="930" w:type="dxa"/>
            <w:tcBorders>
              <w:top w:val="single" w:color="000000" w:sz="6" w:space="0"/>
              <w:left w:val="single" w:color="000000" w:sz="6" w:space="0"/>
            </w:tcBorders>
            <w:shd w:val="clear" w:color="auto" w:fill="FFFFFF"/>
            <w:noWrap w:val="0"/>
            <w:tcMar>
              <w:left w:w="2" w:type="dxa"/>
              <w:right w:w="10" w:type="dxa"/>
            </w:tcMar>
            <w:vAlign w:val="center"/>
          </w:tcPr>
          <w:p>
            <w:pPr>
              <w:numPr>
                <w:ilvl w:val="0"/>
                <w:numId w:val="0"/>
              </w:numPr>
              <w:jc w:val="center"/>
              <w:rPr>
                <w:rFonts w:hint="default" w:ascii="宋体" w:hAnsi="宋体" w:eastAsia="宋体" w:cs="宋体"/>
                <w:sz w:val="24"/>
                <w:szCs w:val="24"/>
                <w:lang w:val="en-US" w:eastAsia="zh-CN"/>
              </w:rPr>
            </w:pPr>
            <w:r>
              <w:rPr>
                <w:rFonts w:hint="default" w:ascii="宋体" w:hAnsi="宋体" w:eastAsia="宋体" w:cs="宋体"/>
                <w:sz w:val="24"/>
                <w:szCs w:val="24"/>
                <w:lang w:val="en-US" w:eastAsia="zh-CN"/>
              </w:rPr>
              <w:t>14</w:t>
            </w:r>
          </w:p>
        </w:tc>
        <w:tc>
          <w:tcPr>
            <w:tcW w:w="1147" w:type="dxa"/>
            <w:tcBorders>
              <w:top w:val="single" w:color="000000" w:sz="6" w:space="0"/>
              <w:left w:val="single" w:color="000000" w:sz="6" w:space="0"/>
            </w:tcBorders>
            <w:shd w:val="clear" w:color="auto" w:fill="FFFFFF"/>
            <w:noWrap w:val="0"/>
            <w:tcMar>
              <w:left w:w="2" w:type="dxa"/>
              <w:right w:w="10" w:type="dxa"/>
            </w:tcMar>
            <w:vAlign w:val="center"/>
          </w:tcPr>
          <w:p>
            <w:pPr>
              <w:numPr>
                <w:ilvl w:val="0"/>
                <w:numId w:val="0"/>
              </w:numPr>
              <w:jc w:val="center"/>
              <w:rPr>
                <w:rFonts w:hint="default" w:ascii="宋体" w:hAnsi="宋体" w:eastAsia="宋体" w:cs="宋体"/>
                <w:sz w:val="24"/>
                <w:szCs w:val="24"/>
                <w:lang w:val="en-US" w:eastAsia="zh-CN"/>
              </w:rPr>
            </w:pPr>
            <w:r>
              <w:rPr>
                <w:rFonts w:hint="default" w:ascii="宋体" w:hAnsi="宋体" w:eastAsia="宋体" w:cs="宋体"/>
                <w:sz w:val="24"/>
                <w:szCs w:val="24"/>
                <w:lang w:val="en-US" w:eastAsia="zh-CN"/>
              </w:rPr>
              <w:t>16</w:t>
            </w:r>
          </w:p>
        </w:tc>
        <w:tc>
          <w:tcPr>
            <w:tcW w:w="1302" w:type="dxa"/>
            <w:tcBorders>
              <w:top w:val="single" w:color="000000" w:sz="6" w:space="0"/>
              <w:left w:val="single" w:color="000000" w:sz="6" w:space="0"/>
            </w:tcBorders>
            <w:shd w:val="clear" w:color="auto" w:fill="FFFFFF"/>
            <w:noWrap w:val="0"/>
            <w:tcMar>
              <w:left w:w="2" w:type="dxa"/>
              <w:right w:w="10" w:type="dxa"/>
            </w:tcMar>
            <w:vAlign w:val="center"/>
          </w:tcPr>
          <w:p>
            <w:pPr>
              <w:numPr>
                <w:ilvl w:val="0"/>
                <w:numId w:val="0"/>
              </w:numPr>
              <w:jc w:val="center"/>
              <w:rPr>
                <w:rFonts w:hint="default" w:ascii="宋体" w:hAnsi="宋体" w:eastAsia="宋体" w:cs="宋体"/>
                <w:sz w:val="24"/>
                <w:szCs w:val="24"/>
                <w:lang w:val="en-US" w:eastAsia="zh-CN"/>
              </w:rPr>
            </w:pPr>
            <w:r>
              <w:rPr>
                <w:rFonts w:hint="default" w:ascii="宋体" w:hAnsi="宋体" w:eastAsia="宋体" w:cs="宋体"/>
                <w:sz w:val="24"/>
                <w:szCs w:val="24"/>
                <w:lang w:val="en-US" w:eastAsia="zh-CN"/>
              </w:rPr>
              <w:t>18,20</w:t>
            </w:r>
          </w:p>
        </w:tc>
        <w:tc>
          <w:tcPr>
            <w:tcW w:w="1336" w:type="dxa"/>
            <w:tcBorders>
              <w:top w:val="single" w:color="000000" w:sz="6" w:space="0"/>
              <w:left w:val="single" w:color="000000" w:sz="6" w:space="0"/>
              <w:right w:val="single" w:color="000000" w:sz="6" w:space="0"/>
            </w:tcBorders>
            <w:shd w:val="clear" w:color="auto" w:fill="FFFFFF"/>
            <w:noWrap w:val="0"/>
            <w:tcMar>
              <w:left w:w="2" w:type="dxa"/>
              <w:right w:w="2" w:type="dxa"/>
            </w:tcMar>
            <w:vAlign w:val="center"/>
          </w:tcPr>
          <w:p>
            <w:pPr>
              <w:numPr>
                <w:ilvl w:val="0"/>
                <w:numId w:val="0"/>
              </w:numPr>
              <w:jc w:val="center"/>
              <w:rPr>
                <w:rFonts w:hint="default" w:ascii="宋体" w:hAnsi="宋体" w:eastAsia="宋体" w:cs="宋体"/>
                <w:sz w:val="24"/>
                <w:szCs w:val="24"/>
                <w:lang w:val="en-US" w:eastAsia="zh-CN"/>
              </w:rPr>
            </w:pPr>
            <w:r>
              <w:rPr>
                <w:rFonts w:hint="default" w:ascii="宋体" w:hAnsi="宋体" w:eastAsia="宋体" w:cs="宋体"/>
                <w:sz w:val="24"/>
                <w:szCs w:val="24"/>
                <w:lang w:val="en-US" w:eastAsia="zh-CN"/>
              </w:rPr>
              <w:t>25,32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93" w:hRule="atLeast"/>
        </w:trPr>
        <w:tc>
          <w:tcPr>
            <w:tcW w:w="256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</w:tcBorders>
            <w:shd w:val="clear" w:color="auto" w:fill="FFFFFF"/>
            <w:noWrap w:val="0"/>
            <w:tcMar>
              <w:left w:w="2" w:type="dxa"/>
              <w:right w:w="10" w:type="dxa"/>
            </w:tcMar>
            <w:vAlign w:val="center"/>
          </w:tcPr>
          <w:p>
            <w:pPr>
              <w:numPr>
                <w:ilvl w:val="0"/>
                <w:numId w:val="0"/>
              </w:numPr>
              <w:jc w:val="center"/>
              <w:rPr>
                <w:rFonts w:hint="default" w:ascii="宋体" w:hAnsi="宋体" w:eastAsia="宋体" w:cs="宋体"/>
                <w:sz w:val="24"/>
                <w:szCs w:val="24"/>
                <w:lang w:val="en-US" w:eastAsia="zh-CN"/>
              </w:rPr>
            </w:pPr>
            <w:r>
              <w:rPr>
                <w:rFonts w:hint="default" w:ascii="宋体" w:hAnsi="宋体" w:eastAsia="宋体" w:cs="宋体"/>
                <w:sz w:val="24"/>
                <w:szCs w:val="24"/>
                <w:lang w:val="en-US" w:eastAsia="zh-CN"/>
              </w:rPr>
              <w:t>最低液压爆破强度MPa</w:t>
            </w:r>
          </w:p>
        </w:tc>
        <w:tc>
          <w:tcPr>
            <w:tcW w:w="103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</w:tcBorders>
            <w:shd w:val="clear" w:color="auto" w:fill="FFFFFF"/>
            <w:noWrap w:val="0"/>
            <w:tcMar>
              <w:left w:w="2" w:type="dxa"/>
              <w:right w:w="10" w:type="dxa"/>
            </w:tcMar>
            <w:vAlign w:val="center"/>
          </w:tcPr>
          <w:p>
            <w:pPr>
              <w:numPr>
                <w:ilvl w:val="0"/>
                <w:numId w:val="0"/>
              </w:numPr>
              <w:jc w:val="center"/>
              <w:rPr>
                <w:rFonts w:hint="default" w:ascii="宋体" w:hAnsi="宋体" w:eastAsia="宋体" w:cs="宋体"/>
                <w:sz w:val="24"/>
                <w:szCs w:val="24"/>
                <w:lang w:val="en-US" w:eastAsia="zh-CN"/>
              </w:rPr>
            </w:pPr>
            <w:r>
              <w:rPr>
                <w:rFonts w:hint="default" w:ascii="宋体" w:hAnsi="宋体" w:eastAsia="宋体" w:cs="宋体"/>
                <w:sz w:val="24"/>
                <w:szCs w:val="24"/>
                <w:lang w:val="en-US" w:eastAsia="zh-CN"/>
              </w:rPr>
              <w:t>7.0</w:t>
            </w:r>
          </w:p>
        </w:tc>
        <w:tc>
          <w:tcPr>
            <w:tcW w:w="93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</w:tcBorders>
            <w:shd w:val="clear" w:color="auto" w:fill="FFFFFF"/>
            <w:noWrap w:val="0"/>
            <w:tcMar>
              <w:left w:w="2" w:type="dxa"/>
              <w:right w:w="10" w:type="dxa"/>
            </w:tcMar>
            <w:vAlign w:val="center"/>
          </w:tcPr>
          <w:p>
            <w:pPr>
              <w:numPr>
                <w:ilvl w:val="0"/>
                <w:numId w:val="0"/>
              </w:numPr>
              <w:jc w:val="center"/>
              <w:rPr>
                <w:rFonts w:hint="default" w:ascii="宋体" w:hAnsi="宋体" w:eastAsia="宋体" w:cs="宋体"/>
                <w:sz w:val="24"/>
                <w:szCs w:val="24"/>
                <w:lang w:val="en-US" w:eastAsia="zh-CN"/>
              </w:rPr>
            </w:pPr>
            <w:r>
              <w:rPr>
                <w:rFonts w:hint="default" w:ascii="宋体" w:hAnsi="宋体" w:eastAsia="宋体" w:cs="宋体"/>
                <w:sz w:val="24"/>
                <w:szCs w:val="24"/>
                <w:lang w:val="en-US" w:eastAsia="zh-CN"/>
              </w:rPr>
              <w:t>7.0</w:t>
            </w:r>
          </w:p>
        </w:tc>
        <w:tc>
          <w:tcPr>
            <w:tcW w:w="1147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</w:tcBorders>
            <w:shd w:val="clear" w:color="auto" w:fill="FFFFFF"/>
            <w:noWrap w:val="0"/>
            <w:tcMar>
              <w:left w:w="2" w:type="dxa"/>
              <w:right w:w="10" w:type="dxa"/>
            </w:tcMar>
            <w:vAlign w:val="center"/>
          </w:tcPr>
          <w:p>
            <w:pPr>
              <w:numPr>
                <w:ilvl w:val="0"/>
                <w:numId w:val="0"/>
              </w:numPr>
              <w:jc w:val="center"/>
              <w:rPr>
                <w:rFonts w:hint="default" w:ascii="宋体" w:hAnsi="宋体" w:eastAsia="宋体" w:cs="宋体"/>
                <w:sz w:val="24"/>
                <w:szCs w:val="24"/>
                <w:lang w:val="en-US" w:eastAsia="zh-CN"/>
              </w:rPr>
            </w:pPr>
            <w:r>
              <w:rPr>
                <w:rFonts w:hint="default" w:ascii="宋体" w:hAnsi="宋体" w:eastAsia="宋体" w:cs="宋体"/>
                <w:sz w:val="24"/>
                <w:szCs w:val="24"/>
                <w:lang w:val="en-US" w:eastAsia="zh-CN"/>
              </w:rPr>
              <w:t>6.0</w:t>
            </w:r>
          </w:p>
        </w:tc>
        <w:tc>
          <w:tcPr>
            <w:tcW w:w="1302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</w:tcBorders>
            <w:shd w:val="clear" w:color="auto" w:fill="FFFFFF"/>
            <w:noWrap w:val="0"/>
            <w:tcMar>
              <w:left w:w="2" w:type="dxa"/>
              <w:right w:w="10" w:type="dxa"/>
            </w:tcMar>
            <w:vAlign w:val="center"/>
          </w:tcPr>
          <w:p>
            <w:pPr>
              <w:numPr>
                <w:ilvl w:val="0"/>
                <w:numId w:val="0"/>
              </w:numPr>
              <w:jc w:val="center"/>
              <w:rPr>
                <w:rFonts w:hint="default" w:ascii="宋体" w:hAnsi="宋体" w:eastAsia="宋体" w:cs="宋体"/>
                <w:sz w:val="24"/>
                <w:szCs w:val="24"/>
                <w:lang w:val="en-US" w:eastAsia="zh-CN"/>
              </w:rPr>
            </w:pPr>
            <w:r>
              <w:rPr>
                <w:rFonts w:hint="default" w:ascii="宋体" w:hAnsi="宋体" w:eastAsia="宋体" w:cs="宋体"/>
                <w:sz w:val="24"/>
                <w:szCs w:val="24"/>
                <w:lang w:val="en-US" w:eastAsia="zh-CN"/>
              </w:rPr>
              <w:t>5.0</w:t>
            </w:r>
          </w:p>
        </w:tc>
        <w:tc>
          <w:tcPr>
            <w:tcW w:w="133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noWrap w:val="0"/>
            <w:tcMar>
              <w:left w:w="2" w:type="dxa"/>
              <w:right w:w="2" w:type="dxa"/>
            </w:tcMar>
            <w:vAlign w:val="center"/>
          </w:tcPr>
          <w:p>
            <w:pPr>
              <w:numPr>
                <w:ilvl w:val="0"/>
                <w:numId w:val="0"/>
              </w:numPr>
              <w:jc w:val="center"/>
              <w:rPr>
                <w:rFonts w:hint="default" w:ascii="宋体" w:hAnsi="宋体" w:eastAsia="宋体" w:cs="宋体"/>
                <w:sz w:val="24"/>
                <w:szCs w:val="24"/>
                <w:lang w:val="en-US" w:eastAsia="zh-CN"/>
              </w:rPr>
            </w:pPr>
            <w:r>
              <w:rPr>
                <w:rFonts w:hint="default" w:ascii="宋体" w:hAnsi="宋体" w:eastAsia="宋体" w:cs="宋体"/>
                <w:sz w:val="24"/>
                <w:szCs w:val="24"/>
                <w:lang w:val="en-US" w:eastAsia="zh-CN"/>
              </w:rPr>
              <w:t>4.0</w:t>
            </w:r>
          </w:p>
        </w:tc>
      </w:tr>
    </w:tbl>
    <w:p>
      <w:pPr>
        <w:numPr>
          <w:ilvl w:val="0"/>
          <w:numId w:val="0"/>
        </w:numPr>
        <w:ind w:firstLine="560" w:firstLineChars="200"/>
        <w:rPr>
          <w:rFonts w:hint="default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6.</w:t>
      </w:r>
      <w:r>
        <w:rPr>
          <w:rFonts w:hint="eastAsia" w:ascii="宋体" w:hAnsi="宋体" w:cs="宋体"/>
          <w:sz w:val="28"/>
          <w:szCs w:val="28"/>
          <w:lang w:val="en-US" w:eastAsia="zh-CN"/>
        </w:rPr>
        <w:t>5</w:t>
      </w: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热循环性能</w:t>
      </w:r>
    </w:p>
    <w:p>
      <w:pPr>
        <w:numPr>
          <w:ilvl w:val="0"/>
          <w:numId w:val="0"/>
        </w:numPr>
        <w:ind w:firstLine="560" w:firstLineChars="200"/>
        <w:rPr>
          <w:rFonts w:hint="default" w:ascii="宋体" w:hAnsi="宋体" w:eastAsia="宋体" w:cs="宋体"/>
          <w:sz w:val="28"/>
          <w:szCs w:val="28"/>
          <w:lang w:val="en-US" w:eastAsia="zh-CN"/>
        </w:rPr>
      </w:pPr>
      <w:r>
        <w:rPr>
          <w:rFonts w:hint="default" w:ascii="宋体" w:hAnsi="宋体" w:eastAsia="宋体" w:cs="宋体"/>
          <w:sz w:val="28"/>
          <w:szCs w:val="28"/>
          <w:lang w:val="en-US" w:eastAsia="zh-CN"/>
        </w:rPr>
        <w:t>管接头和管材组成的组件在1.0 MPa的内部压力下，内部水温在20 °C〜90 °C之间作5000次热循环，组件不应分离和泄漏。</w:t>
      </w:r>
    </w:p>
    <w:p>
      <w:pPr>
        <w:numPr>
          <w:ilvl w:val="0"/>
          <w:numId w:val="0"/>
        </w:numPr>
        <w:ind w:firstLine="560" w:firstLineChars="200"/>
        <w:rPr>
          <w:rFonts w:hint="default" w:ascii="宋体" w:hAnsi="宋体" w:eastAsia="宋体" w:cs="宋体"/>
          <w:b w:val="0"/>
          <w:bCs w:val="0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sz w:val="28"/>
          <w:szCs w:val="28"/>
          <w:lang w:val="en-US" w:eastAsia="zh-CN"/>
        </w:rPr>
        <w:t>6.</w:t>
      </w:r>
      <w:r>
        <w:rPr>
          <w:rFonts w:hint="eastAsia" w:ascii="宋体" w:hAnsi="宋体" w:cs="宋体"/>
          <w:b w:val="0"/>
          <w:bCs w:val="0"/>
          <w:sz w:val="28"/>
          <w:szCs w:val="28"/>
          <w:lang w:val="en-US" w:eastAsia="zh-CN"/>
        </w:rPr>
        <w:t>6</w:t>
      </w:r>
      <w:r>
        <w:rPr>
          <w:rFonts w:hint="eastAsia" w:ascii="宋体" w:hAnsi="宋体" w:eastAsia="宋体" w:cs="宋体"/>
          <w:b w:val="0"/>
          <w:bCs w:val="0"/>
          <w:sz w:val="28"/>
          <w:szCs w:val="28"/>
          <w:lang w:val="en-US" w:eastAsia="zh-CN"/>
        </w:rPr>
        <w:t>卫生性能</w:t>
      </w:r>
    </w:p>
    <w:p>
      <w:pPr>
        <w:numPr>
          <w:ilvl w:val="0"/>
          <w:numId w:val="0"/>
        </w:numPr>
        <w:ind w:firstLine="560" w:firstLineChars="200"/>
        <w:rPr>
          <w:rFonts w:hint="default" w:ascii="宋体" w:hAnsi="宋体" w:eastAsia="宋体" w:cs="宋体"/>
          <w:sz w:val="28"/>
          <w:szCs w:val="28"/>
          <w:lang w:val="en-US" w:eastAsia="zh-CN"/>
        </w:rPr>
      </w:pPr>
      <w:r>
        <w:rPr>
          <w:rFonts w:hint="default" w:ascii="宋体" w:hAnsi="宋体" w:eastAsia="宋体" w:cs="宋体"/>
          <w:sz w:val="28"/>
          <w:szCs w:val="28"/>
          <w:lang w:val="en-US" w:eastAsia="zh-CN"/>
        </w:rPr>
        <w:t>用于输送饮用水的管接头、橡胶密封圈、橡胶垫片等所有与饮用水接触的材料，其卫生性能应符合GB/T 17219</w:t>
      </w: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-1998</w:t>
      </w:r>
      <w:r>
        <w:rPr>
          <w:rFonts w:hint="default" w:ascii="宋体" w:hAnsi="宋体" w:eastAsia="宋体" w:cs="宋体"/>
          <w:sz w:val="28"/>
          <w:szCs w:val="28"/>
          <w:lang w:val="en-US" w:eastAsia="zh-CN"/>
        </w:rPr>
        <w:t>的规定。</w:t>
      </w:r>
    </w:p>
    <w:p>
      <w:pPr>
        <w:numPr>
          <w:ilvl w:val="0"/>
          <w:numId w:val="0"/>
        </w:numPr>
        <w:ind w:firstLine="560" w:firstLineChars="200"/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7.</w:t>
      </w:r>
      <w:r>
        <w:rPr>
          <w:rFonts w:hint="default" w:ascii="宋体" w:hAnsi="宋体" w:eastAsia="宋体" w:cs="宋体"/>
          <w:sz w:val="28"/>
          <w:szCs w:val="28"/>
          <w:lang w:val="en-US" w:eastAsia="zh-CN"/>
        </w:rPr>
        <w:t>试验方法</w:t>
      </w: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严格按照CJ/T 111-2018执行。</w:t>
      </w:r>
    </w:p>
    <w:p>
      <w:pPr>
        <w:numPr>
          <w:ilvl w:val="0"/>
          <w:numId w:val="0"/>
        </w:numPr>
        <w:ind w:firstLine="560" w:firstLineChars="200"/>
        <w:rPr>
          <w:rFonts w:hint="default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8.</w:t>
      </w:r>
      <w:r>
        <w:rPr>
          <w:rFonts w:hint="default" w:ascii="宋体" w:hAnsi="宋体" w:eastAsia="宋体" w:cs="宋体"/>
          <w:sz w:val="28"/>
          <w:szCs w:val="28"/>
          <w:lang w:val="en-US" w:eastAsia="zh-CN"/>
        </w:rPr>
        <w:t>管接头上应有型号或规格、商标或识别标记等标志，标志应清晰、耐久。</w:t>
      </w:r>
    </w:p>
    <w:p>
      <w:pPr>
        <w:pStyle w:val="2"/>
        <w:ind w:firstLine="560" w:firstLineChars="200"/>
        <w:rPr>
          <w:rFonts w:hint="default"/>
          <w:lang w:val="en-US" w:eastAsia="zh-CN"/>
        </w:rPr>
      </w:pPr>
      <w:r>
        <w:rPr>
          <w:rFonts w:hint="eastAsia" w:eastAsia="宋体" w:cs="Times New Roman"/>
          <w:bCs/>
          <w:sz w:val="28"/>
          <w:szCs w:val="28"/>
          <w:lang w:val="en-US" w:eastAsia="zh-CN"/>
        </w:rPr>
        <w:t>9.</w:t>
      </w:r>
      <w:r>
        <w:rPr>
          <w:rFonts w:hint="eastAsia" w:ascii="宋体" w:hAnsi="宋体" w:eastAsia="宋体" w:cs="Times New Roman"/>
          <w:b/>
          <w:bCs w:val="0"/>
          <w:sz w:val="28"/>
          <w:szCs w:val="28"/>
          <w:lang w:val="en-US" w:eastAsia="zh-CN"/>
        </w:rPr>
        <w:t>产品性能档次须相当于或优于以下品牌同档次及以上：</w:t>
      </w:r>
      <w:r>
        <w:rPr>
          <w:rFonts w:hint="eastAsia" w:eastAsia="宋体" w:cs="Times New Roman"/>
          <w:b/>
          <w:bCs w:val="0"/>
          <w:sz w:val="28"/>
          <w:szCs w:val="28"/>
          <w:lang w:val="en-US" w:eastAsia="zh-CN"/>
        </w:rPr>
        <w:t>盾运、埃美柯、日丰。</w:t>
      </w:r>
    </w:p>
    <w:p>
      <w:pPr>
        <w:pStyle w:val="3"/>
        <w:jc w:val="both"/>
        <w:rPr>
          <w:rFonts w:hint="default"/>
          <w:lang w:val="en-US" w:eastAsia="zh-CN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mMxMzNmNmU5NjQ4MmQxNjZkYzRkNWUwOWQ2YmE3ZGYifQ=="/>
  </w:docVars>
  <w:rsids>
    <w:rsidRoot w:val="00000000"/>
    <w:rsid w:val="02BB4CAA"/>
    <w:rsid w:val="03834A18"/>
    <w:rsid w:val="0386458F"/>
    <w:rsid w:val="03B90C14"/>
    <w:rsid w:val="06FF2973"/>
    <w:rsid w:val="07D15C49"/>
    <w:rsid w:val="091F5057"/>
    <w:rsid w:val="09712E6F"/>
    <w:rsid w:val="0A2E531E"/>
    <w:rsid w:val="0A5A7844"/>
    <w:rsid w:val="0BCF6A56"/>
    <w:rsid w:val="0E17285A"/>
    <w:rsid w:val="0E581A88"/>
    <w:rsid w:val="0E9D7FD6"/>
    <w:rsid w:val="0F4362A8"/>
    <w:rsid w:val="0F7D6815"/>
    <w:rsid w:val="10237E7A"/>
    <w:rsid w:val="10543BDC"/>
    <w:rsid w:val="14E62317"/>
    <w:rsid w:val="1566680C"/>
    <w:rsid w:val="160B24E4"/>
    <w:rsid w:val="166E5A99"/>
    <w:rsid w:val="16F34D64"/>
    <w:rsid w:val="172029DA"/>
    <w:rsid w:val="18420A61"/>
    <w:rsid w:val="18E57EEF"/>
    <w:rsid w:val="190D588E"/>
    <w:rsid w:val="1913461E"/>
    <w:rsid w:val="19A34ABF"/>
    <w:rsid w:val="19E65CC5"/>
    <w:rsid w:val="1AA70F88"/>
    <w:rsid w:val="1AFD72AE"/>
    <w:rsid w:val="1B6938F9"/>
    <w:rsid w:val="1EA678EE"/>
    <w:rsid w:val="21375894"/>
    <w:rsid w:val="21533795"/>
    <w:rsid w:val="22193ADE"/>
    <w:rsid w:val="24AC6626"/>
    <w:rsid w:val="257C6C72"/>
    <w:rsid w:val="268964E5"/>
    <w:rsid w:val="28B96419"/>
    <w:rsid w:val="28E82542"/>
    <w:rsid w:val="292F6596"/>
    <w:rsid w:val="2A704A7F"/>
    <w:rsid w:val="2BB34BC2"/>
    <w:rsid w:val="2C646630"/>
    <w:rsid w:val="2D4E2EAC"/>
    <w:rsid w:val="2E1B2C57"/>
    <w:rsid w:val="2EAC4421"/>
    <w:rsid w:val="30594C71"/>
    <w:rsid w:val="30C93DD8"/>
    <w:rsid w:val="31467772"/>
    <w:rsid w:val="31CC2391"/>
    <w:rsid w:val="327E7533"/>
    <w:rsid w:val="36336D1C"/>
    <w:rsid w:val="36367C1A"/>
    <w:rsid w:val="37006B72"/>
    <w:rsid w:val="37563F1A"/>
    <w:rsid w:val="39223962"/>
    <w:rsid w:val="39EB70F4"/>
    <w:rsid w:val="3A837631"/>
    <w:rsid w:val="3CB454A9"/>
    <w:rsid w:val="3D031ED8"/>
    <w:rsid w:val="403C458B"/>
    <w:rsid w:val="40EE5FF0"/>
    <w:rsid w:val="417B7F9A"/>
    <w:rsid w:val="41E43BF6"/>
    <w:rsid w:val="4241624A"/>
    <w:rsid w:val="43A940AB"/>
    <w:rsid w:val="43AB6501"/>
    <w:rsid w:val="44337658"/>
    <w:rsid w:val="45D67254"/>
    <w:rsid w:val="46AD1297"/>
    <w:rsid w:val="46D2736E"/>
    <w:rsid w:val="47D56BD3"/>
    <w:rsid w:val="47DF5161"/>
    <w:rsid w:val="4CFD45EB"/>
    <w:rsid w:val="4E6A5BB5"/>
    <w:rsid w:val="4EE12235"/>
    <w:rsid w:val="524729FC"/>
    <w:rsid w:val="52A81045"/>
    <w:rsid w:val="52EA75A5"/>
    <w:rsid w:val="52F26D7E"/>
    <w:rsid w:val="53613A47"/>
    <w:rsid w:val="547755A7"/>
    <w:rsid w:val="548F395C"/>
    <w:rsid w:val="54DA51D4"/>
    <w:rsid w:val="55280380"/>
    <w:rsid w:val="55747CCB"/>
    <w:rsid w:val="56F75AF9"/>
    <w:rsid w:val="577547EA"/>
    <w:rsid w:val="583A0947"/>
    <w:rsid w:val="58443BDE"/>
    <w:rsid w:val="5A973AB1"/>
    <w:rsid w:val="5B50795F"/>
    <w:rsid w:val="5D3D357E"/>
    <w:rsid w:val="5D58307C"/>
    <w:rsid w:val="5D833CB0"/>
    <w:rsid w:val="5E9E11A1"/>
    <w:rsid w:val="5EC62D2C"/>
    <w:rsid w:val="603C2900"/>
    <w:rsid w:val="63D61EF5"/>
    <w:rsid w:val="643B0C2A"/>
    <w:rsid w:val="657D21BD"/>
    <w:rsid w:val="69D47AF0"/>
    <w:rsid w:val="6B5C578A"/>
    <w:rsid w:val="6B7743BB"/>
    <w:rsid w:val="6C0B7DFB"/>
    <w:rsid w:val="6C533F9F"/>
    <w:rsid w:val="6D6A35FD"/>
    <w:rsid w:val="6E3B4B9F"/>
    <w:rsid w:val="6FDD10DC"/>
    <w:rsid w:val="700B22DB"/>
    <w:rsid w:val="702901DE"/>
    <w:rsid w:val="70ED3A8D"/>
    <w:rsid w:val="711D123F"/>
    <w:rsid w:val="71F06378"/>
    <w:rsid w:val="72ED3F26"/>
    <w:rsid w:val="73AB07CA"/>
    <w:rsid w:val="73C86C78"/>
    <w:rsid w:val="74413DA0"/>
    <w:rsid w:val="74F97EA9"/>
    <w:rsid w:val="75C14198"/>
    <w:rsid w:val="764C46A6"/>
    <w:rsid w:val="767A486C"/>
    <w:rsid w:val="76862EDA"/>
    <w:rsid w:val="77DF48CE"/>
    <w:rsid w:val="7824723F"/>
    <w:rsid w:val="79AB0874"/>
    <w:rsid w:val="7BA26C50"/>
    <w:rsid w:val="7D417142"/>
    <w:rsid w:val="7DB843A4"/>
    <w:rsid w:val="7DC64795"/>
    <w:rsid w:val="7E6B19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nhideWhenUsed="0" w:uiPriority="0" w:semiHidden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qFormat="1" w:unhideWhenUsed="0" w:uiPriority="99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styleId="3">
    <w:name w:val="heading 4"/>
    <w:basedOn w:val="1"/>
    <w:next w:val="1"/>
    <w:qFormat/>
    <w:uiPriority w:val="0"/>
    <w:pPr>
      <w:keepNext/>
      <w:spacing w:line="440" w:lineRule="exact"/>
      <w:jc w:val="center"/>
      <w:outlineLvl w:val="3"/>
    </w:pPr>
    <w:rPr>
      <w:rFonts w:ascii="仿宋_GB2312" w:eastAsia="仿宋_GB2312"/>
      <w:sz w:val="28"/>
      <w:szCs w:val="28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HTML Preformatted"/>
    <w:basedOn w:val="1"/>
    <w:qFormat/>
    <w:uiPriority w:val="99"/>
    <w:pPr>
      <w:widowControl/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jc w:val="left"/>
    </w:pPr>
    <w:rPr>
      <w:rFonts w:ascii="宋体" w:hAnsi="宋体"/>
      <w:sz w:val="24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1218</Words>
  <Characters>1507</Characters>
  <Lines>0</Lines>
  <Paragraphs>0</Paragraphs>
  <TotalTime>4</TotalTime>
  <ScaleCrop>false</ScaleCrop>
  <LinksUpToDate>false</LinksUpToDate>
  <CharactersWithSpaces>1528</CharactersWithSpaces>
  <Application>WPS Office_12.1.0.16929_F1E327BC-269C-435d-A152-05C5408002CA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2022-02-28T08:19:00Z</dcterms:created>
  <dc:creator>lenovo</dc:creator>
  <cp:lastModifiedBy>一一</cp:lastModifiedBy>
  <dcterms:modified xsi:type="dcterms:W3CDTF">2024-05-17T05:32:45Z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2052-12.1.0.16929</vt:lpwstr>
  </property>
  <property fmtid="{D5CDD505-2E9C-101B-9397-08002B2CF9AE}" pid="3" name="ICV">
    <vt:lpwstr>405EBDE550144B4D94C2E661D526DA9D</vt:lpwstr>
  </property>
</Properties>
</file>